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val="0"/>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2"/>
          <w:szCs w:val="22"/>
          <w:highlight w:val="none"/>
          <w:lang w:eastAsia="zh-CN"/>
        </w:rPr>
      </w:pPr>
      <w:bookmarkStart w:id="0" w:name="DocumentFor"/>
      <w:bookmarkEnd w:id="0"/>
      <w:bookmarkStart w:id="1" w:name="Title"/>
      <w:bookmarkEnd w:id="1"/>
      <w:bookmarkStart w:id="2" w:name="_Toc193024528"/>
      <w:r>
        <w:rPr>
          <w:rFonts w:hint="default" w:ascii="Arial" w:hAnsi="Arial" w:cs="Arial"/>
          <w:b/>
          <w:color w:val="auto"/>
          <w:sz w:val="22"/>
          <w:szCs w:val="22"/>
          <w:highlight w:val="none"/>
          <w:lang w:eastAsia="zh-CN"/>
        </w:rPr>
        <w:t xml:space="preserve">3GPP TSG-RAN WG4 Meeting # 98-e </w:t>
      </w:r>
      <w:r>
        <w:rPr>
          <w:rFonts w:hint="default" w:ascii="Arial" w:hAnsi="Arial" w:cs="Arial"/>
          <w:b/>
          <w:color w:val="auto"/>
          <w:sz w:val="22"/>
          <w:szCs w:val="22"/>
          <w:highlight w:val="none"/>
          <w:lang w:val="en-US" w:eastAsia="zh-CN"/>
        </w:rPr>
        <w:t xml:space="preserve">                              </w:t>
      </w:r>
      <w:r>
        <w:rPr>
          <w:rFonts w:hint="eastAsia" w:cs="Arial"/>
          <w:b/>
          <w:color w:val="auto"/>
          <w:sz w:val="22"/>
          <w:szCs w:val="22"/>
          <w:highlight w:val="none"/>
          <w:lang w:val="en-US" w:eastAsia="zh-CN"/>
        </w:rPr>
        <w:t xml:space="preserve">                                           </w:t>
      </w:r>
      <w:r>
        <w:rPr>
          <w:rFonts w:hint="default" w:ascii="Arial" w:hAnsi="Arial" w:cs="Arial"/>
          <w:b/>
          <w:color w:val="auto"/>
          <w:sz w:val="22"/>
          <w:szCs w:val="22"/>
          <w:highlight w:val="none"/>
          <w:lang w:eastAsia="zh-CN"/>
        </w:rPr>
        <w:t>R4-21</w:t>
      </w:r>
      <w:r>
        <w:rPr>
          <w:rFonts w:hint="eastAsia" w:cs="Arial"/>
          <w:b/>
          <w:color w:val="auto"/>
          <w:sz w:val="22"/>
          <w:szCs w:val="22"/>
          <w:highlight w:val="none"/>
          <w:lang w:val="en-US" w:eastAsia="zh-CN"/>
        </w:rPr>
        <w:t>02190</w:t>
      </w:r>
      <w:bookmarkStart w:id="3" w:name="_GoBack"/>
      <w:bookmarkEnd w:id="3"/>
    </w:p>
    <w:p>
      <w:pPr>
        <w:pStyle w:val="53"/>
        <w:keepNext/>
        <w:keepLines w:val="0"/>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2"/>
          <w:szCs w:val="22"/>
          <w:highlight w:val="none"/>
          <w:lang w:eastAsia="zh-CN"/>
        </w:rPr>
      </w:pPr>
      <w:r>
        <w:rPr>
          <w:rFonts w:hint="default" w:ascii="Arial" w:hAnsi="Arial" w:cs="Arial"/>
          <w:b/>
          <w:color w:val="auto"/>
          <w:sz w:val="22"/>
          <w:szCs w:val="22"/>
          <w:highlight w:val="none"/>
          <w:lang w:eastAsia="zh-CN"/>
        </w:rPr>
        <w:t>Electronic Meeting, Jan. 25-Feb. 5, 2021</w:t>
      </w:r>
    </w:p>
    <w:p>
      <w:pPr>
        <w:pStyle w:val="53"/>
        <w:keepNext/>
        <w:keepLines w:val="0"/>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3"/>
        <w:keepNext/>
        <w:keepLines w:val="0"/>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Further discussion on SAR solution for NR PC2 inter-band CA</w:t>
      </w:r>
    </w:p>
    <w:p>
      <w:pPr>
        <w:pStyle w:val="53"/>
        <w:keepNext/>
        <w:keepLines w:val="0"/>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cs="Arial"/>
          <w:b w:val="0"/>
          <w:bCs/>
          <w:sz w:val="22"/>
          <w:szCs w:val="22"/>
          <w:lang w:val="en-US" w:eastAsia="zh-CN"/>
        </w:rPr>
        <w:t>9</w:t>
      </w:r>
      <w:r>
        <w:rPr>
          <w:rFonts w:hint="eastAsia" w:ascii="Arial" w:hAnsi="Arial" w:cs="Arial"/>
          <w:b w:val="0"/>
          <w:bCs/>
          <w:sz w:val="22"/>
          <w:szCs w:val="22"/>
          <w:lang w:val="en-US" w:eastAsia="zh-CN"/>
        </w:rPr>
        <w:t>.1</w:t>
      </w:r>
      <w:r>
        <w:rPr>
          <w:rFonts w:hint="eastAsia" w:cs="Arial"/>
          <w:b w:val="0"/>
          <w:bCs/>
          <w:sz w:val="22"/>
          <w:szCs w:val="22"/>
          <w:lang w:val="en-US" w:eastAsia="zh-CN"/>
        </w:rPr>
        <w:t>8</w:t>
      </w:r>
      <w:r>
        <w:rPr>
          <w:rFonts w:hint="eastAsia" w:ascii="Arial" w:hAnsi="Arial" w:cs="Arial"/>
          <w:b w:val="0"/>
          <w:bCs/>
          <w:sz w:val="22"/>
          <w:szCs w:val="22"/>
          <w:lang w:val="en-US" w:eastAsia="zh-CN"/>
        </w:rPr>
        <w:t>.2</w:t>
      </w:r>
    </w:p>
    <w:p>
      <w:pPr>
        <w:pStyle w:val="53"/>
        <w:keepNext/>
        <w:keepLines w:val="0"/>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keepNext/>
        <w:keepLines w:val="0"/>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In last meeting, some candidate SAR solutions for</w:t>
      </w:r>
      <w:r>
        <w:rPr>
          <w:rFonts w:hint="eastAsia" w:eastAsia="宋体" w:cs="Times New Roman"/>
          <w:i w:val="0"/>
          <w:iCs w:val="0"/>
          <w:sz w:val="20"/>
          <w:szCs w:val="20"/>
          <w:lang w:val="en-US" w:eastAsia="zh-CN"/>
        </w:rPr>
        <w:t xml:space="preserve"> </w:t>
      </w:r>
      <w:r>
        <w:rPr>
          <w:rFonts w:hint="eastAsia" w:cs="Arial"/>
          <w:b w:val="0"/>
          <w:bCs/>
          <w:sz w:val="20"/>
          <w:szCs w:val="20"/>
          <w:lang w:val="en-US" w:eastAsia="zh-CN"/>
        </w:rPr>
        <w:t xml:space="preserve">NR PC2 inter-band CA and </w:t>
      </w:r>
      <w:r>
        <w:rPr>
          <w:rFonts w:hint="eastAsia" w:eastAsia="宋体" w:cs="Times New Roman"/>
          <w:i w:val="0"/>
          <w:iCs w:val="0"/>
          <w:sz w:val="20"/>
          <w:szCs w:val="22"/>
          <w:lang w:val="en-US" w:eastAsia="zh-CN"/>
        </w:rPr>
        <w:t xml:space="preserve">PC2 </w:t>
      </w:r>
      <w:r>
        <w:rPr>
          <w:rFonts w:hint="eastAsia" w:cs="Arial"/>
          <w:b w:val="0"/>
          <w:bCs/>
          <w:sz w:val="20"/>
          <w:szCs w:val="20"/>
          <w:lang w:val="en-US" w:eastAsia="zh-CN"/>
        </w:rPr>
        <w:t>SUL configurations have been captured in the agreed WF[1]</w:t>
      </w:r>
      <w:r>
        <w:rPr>
          <w:rFonts w:hint="eastAsia" w:eastAsia="宋体" w:cs="Times New Roman"/>
          <w:i w:val="0"/>
          <w:iCs w:val="0"/>
          <w:sz w:val="20"/>
          <w:szCs w:val="22"/>
          <w:lang w:val="en-US" w:eastAsia="zh-CN"/>
        </w:rPr>
        <w:t>, which are listed below.</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drawing>
          <wp:inline distT="0" distB="0" distL="114300" distR="114300">
            <wp:extent cx="6120130" cy="2550160"/>
            <wp:effectExtent l="0" t="0" r="139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20130" cy="2550160"/>
                    </a:xfrm>
                    <a:prstGeom prst="rect">
                      <a:avLst/>
                    </a:prstGeom>
                    <a:noFill/>
                    <a:ln>
                      <a:noFill/>
                    </a:ln>
                  </pic:spPr>
                </pic:pic>
              </a:graphicData>
            </a:graphic>
          </wp:inline>
        </w:drawing>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And further, the SAR compliance mechanism for both PC2 inter-band UL CA and PC2 SUL combination are agreed to release independent from Rel-15 based on the P-MPR solution.</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 xml:space="preserve">In this contribution, we give some </w:t>
      </w:r>
      <w:r>
        <w:rPr>
          <w:rFonts w:hint="eastAsia" w:eastAsia="宋体" w:cs="Times New Roman"/>
          <w:i w:val="0"/>
          <w:iCs w:val="0"/>
          <w:sz w:val="20"/>
          <w:szCs w:val="22"/>
          <w:lang w:val="en-US" w:eastAsia="zh-CN"/>
        </w:rPr>
        <w:t xml:space="preserve">further </w:t>
      </w:r>
      <w:r>
        <w:rPr>
          <w:rFonts w:hint="eastAsia" w:ascii="Times New Roman" w:hAnsi="Times New Roman" w:eastAsia="宋体" w:cs="Times New Roman"/>
          <w:i w:val="0"/>
          <w:iCs w:val="0"/>
          <w:sz w:val="20"/>
          <w:szCs w:val="22"/>
          <w:lang w:val="en-US" w:eastAsia="zh-CN"/>
        </w:rPr>
        <w:t>discussion</w:t>
      </w:r>
      <w:r>
        <w:rPr>
          <w:rFonts w:hint="eastAsia" w:eastAsia="宋体" w:cs="Times New Roman"/>
          <w:i w:val="0"/>
          <w:iCs w:val="0"/>
          <w:sz w:val="20"/>
          <w:szCs w:val="22"/>
          <w:lang w:val="en-US" w:eastAsia="zh-CN"/>
        </w:rPr>
        <w:t>s</w:t>
      </w:r>
      <w:r>
        <w:rPr>
          <w:rFonts w:hint="eastAsia" w:ascii="Times New Roman" w:hAnsi="Times New Roman" w:eastAsia="宋体" w:cs="Times New Roman"/>
          <w:i w:val="0"/>
          <w:iCs w:val="0"/>
          <w:sz w:val="20"/>
          <w:szCs w:val="22"/>
          <w:lang w:val="en-US" w:eastAsia="zh-CN"/>
        </w:rPr>
        <w:t xml:space="preserve"> on the </w:t>
      </w:r>
      <w:r>
        <w:rPr>
          <w:rFonts w:hint="eastAsia" w:eastAsia="宋体" w:cs="Times New Roman"/>
          <w:i w:val="0"/>
          <w:iCs w:val="0"/>
          <w:sz w:val="20"/>
          <w:szCs w:val="22"/>
          <w:lang w:val="en-US" w:eastAsia="zh-CN"/>
        </w:rPr>
        <w:t xml:space="preserve">duty cycle based </w:t>
      </w:r>
      <w:r>
        <w:rPr>
          <w:rFonts w:hint="eastAsia" w:ascii="Times New Roman" w:hAnsi="Times New Roman" w:eastAsia="宋体" w:cs="Times New Roman"/>
          <w:i w:val="0"/>
          <w:iCs w:val="0"/>
          <w:sz w:val="20"/>
          <w:szCs w:val="22"/>
          <w:lang w:val="en-US" w:eastAsia="zh-CN"/>
        </w:rPr>
        <w:t xml:space="preserve">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NR inter-band CA.</w:t>
      </w:r>
    </w:p>
    <w:p>
      <w:pPr>
        <w:pStyle w:val="2"/>
        <w:keepNext/>
        <w:keepLines w:val="0"/>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As can be seen from the WF, there only two options were listed, and each of them has pros and cons. Actually, in our contribution [2], we have already proposed that UE reports the duty cycle for each NR TDD band for HPUE TDD-TDD inter-band CA,  and report the NR TDD band based on NR FDD band reference configurations. Actually these two proposals are the similar that is report the duty cycle capabilities per band.</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 xml:space="preserve">In addition, we proposal another solutions in [3] that reporting both total duty cycle capability and duty cycle of PCell, considering adopt </w:t>
      </w:r>
      <w:r>
        <w:rPr>
          <w:rFonts w:hint="eastAsia" w:ascii="Times New Roman" w:hAnsi="Times New Roman" w:eastAsia="宋体" w:cs="Times New Roman"/>
          <w:i w:val="0"/>
          <w:iCs w:val="0"/>
          <w:sz w:val="20"/>
          <w:szCs w:val="22"/>
          <w:lang w:val="en-US" w:eastAsia="zh-CN"/>
        </w:rPr>
        <w:t xml:space="preserve">the </w:t>
      </w:r>
      <w:r>
        <w:rPr>
          <w:rFonts w:hint="eastAsia" w:eastAsia="宋体" w:cs="Times New Roman"/>
          <w:i w:val="0"/>
          <w:iCs w:val="0"/>
          <w:sz w:val="20"/>
          <w:szCs w:val="22"/>
          <w:lang w:val="en-US" w:eastAsia="zh-CN"/>
        </w:rPr>
        <w:t xml:space="preserve">similar </w:t>
      </w:r>
      <w:r>
        <w:rPr>
          <w:rFonts w:hint="eastAsia" w:ascii="Times New Roman" w:hAnsi="Times New Roman" w:eastAsia="宋体" w:cs="Times New Roman"/>
          <w:i w:val="0"/>
          <w:iCs w:val="0"/>
          <w:sz w:val="20"/>
          <w:szCs w:val="22"/>
          <w:lang w:val="en-US" w:eastAsia="zh-CN"/>
        </w:rPr>
        <w:t>approach of PC2 inter-band ENDC</w:t>
      </w:r>
      <w:r>
        <w:rPr>
          <w:rFonts w:hint="eastAsia" w:eastAsia="宋体" w:cs="Times New Roman"/>
          <w:i w:val="0"/>
          <w:iCs w:val="0"/>
          <w:sz w:val="20"/>
          <w:szCs w:val="22"/>
          <w:lang w:val="en-US" w:eastAsia="zh-CN"/>
        </w:rPr>
        <w:t xml:space="preserve"> as much as possible, where reporting total duty cycle</w:t>
      </w:r>
      <w:r>
        <w:rPr>
          <w:rFonts w:hint="eastAsia" w:eastAsia="宋体" w:cs="Times New Roman"/>
          <w:sz w:val="20"/>
          <w:szCs w:val="22"/>
          <w:highlight w:val="none"/>
          <w:lang w:val="en-US" w:eastAsia="zh-CN"/>
        </w:rPr>
        <w:t xml:space="preserve"> capability, and we also consider </w:t>
      </w:r>
      <w:r>
        <w:rPr>
          <w:rFonts w:hint="eastAsia" w:ascii="Times New Roman" w:hAnsi="Times New Roman" w:eastAsia="宋体" w:cs="Times New Roman"/>
          <w:i w:val="0"/>
          <w:iCs w:val="0"/>
          <w:sz w:val="20"/>
          <w:szCs w:val="22"/>
          <w:lang w:val="en-US" w:eastAsia="zh-CN"/>
        </w:rPr>
        <w:t>NR TDD frame structures are different with LTE TDD</w:t>
      </w:r>
      <w:r>
        <w:rPr>
          <w:rFonts w:hint="eastAsia" w:eastAsia="宋体" w:cs="Times New Roman"/>
          <w:i w:val="0"/>
          <w:iCs w:val="0"/>
          <w:sz w:val="20"/>
          <w:szCs w:val="22"/>
          <w:lang w:val="en-US" w:eastAsia="zh-CN"/>
        </w:rPr>
        <w:t>.</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szCs w:val="22"/>
          <w:highlight w:val="none"/>
          <w:lang w:val="en-US" w:eastAsia="zh-CN"/>
        </w:rPr>
      </w:pPr>
      <w:r>
        <w:rPr>
          <w:rFonts w:hint="eastAsia" w:eastAsia="宋体" w:cs="Times New Roman"/>
          <w:i w:val="0"/>
          <w:iCs w:val="0"/>
          <w:sz w:val="20"/>
          <w:szCs w:val="22"/>
          <w:lang w:val="en-US" w:eastAsia="zh-CN"/>
        </w:rPr>
        <w:t xml:space="preserve">In our understanding, </w:t>
      </w:r>
      <w:r>
        <w:rPr>
          <w:rFonts w:hint="eastAsia" w:eastAsia="宋体" w:cs="Times New Roman"/>
          <w:sz w:val="20"/>
          <w:szCs w:val="22"/>
          <w:highlight w:val="none"/>
          <w:lang w:val="en-US" w:eastAsia="zh-CN"/>
        </w:rPr>
        <w:t xml:space="preserve"> the capability/duty cycle for each band should be known no matter which options are adopted, and both option 1 and option 2 can work. For option 1 where only reporting the </w:t>
      </w:r>
      <w:r>
        <w:rPr>
          <w:rFonts w:hint="eastAsia" w:eastAsia="宋体" w:cs="Times New Roman"/>
          <w:i w:val="0"/>
          <w:iCs w:val="0"/>
          <w:sz w:val="20"/>
          <w:szCs w:val="22"/>
          <w:lang w:val="en-US" w:eastAsia="zh-CN"/>
        </w:rPr>
        <w:t>total duty cycle</w:t>
      </w:r>
      <w:r>
        <w:rPr>
          <w:rFonts w:hint="eastAsia" w:eastAsia="宋体" w:cs="Times New Roman"/>
          <w:sz w:val="20"/>
          <w:szCs w:val="22"/>
          <w:highlight w:val="none"/>
          <w:lang w:val="en-US" w:eastAsia="zh-CN"/>
        </w:rPr>
        <w:t xml:space="preserve"> capability per BC, the capability/duty cycle for each band can be know assuming linear or equal SAR efforts in different band frequencies. However, it is not always the case in realistic, especially for the FDD and TDD band, also it will restrict the feasibility. For option 2, as stated in the WF, lots of signalling</w:t>
      </w:r>
      <w:r>
        <w:rPr>
          <w:rFonts w:hint="default" w:eastAsia="宋体" w:cs="Times New Roman"/>
          <w:sz w:val="20"/>
          <w:szCs w:val="22"/>
          <w:highlight w:val="none"/>
          <w:lang w:val="en-US" w:eastAsia="zh-CN"/>
        </w:rPr>
        <w:t>’</w:t>
      </w:r>
      <w:r>
        <w:rPr>
          <w:rFonts w:hint="eastAsia" w:eastAsia="宋体" w:cs="Times New Roman"/>
          <w:sz w:val="20"/>
          <w:szCs w:val="22"/>
          <w:highlight w:val="none"/>
          <w:lang w:val="en-US" w:eastAsia="zh-CN"/>
        </w:rPr>
        <w:t>s pairs are foreseen considering different cases for the power configurations of the two bands.</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i w:val="0"/>
          <w:iCs w:val="0"/>
          <w:color w:val="auto"/>
          <w:kern w:val="0"/>
          <w:sz w:val="20"/>
          <w:szCs w:val="22"/>
          <w:highlight w:val="none"/>
          <w:lang w:val="en-US" w:eastAsia="zh-CN" w:bidi="ar-SA"/>
        </w:rPr>
      </w:pPr>
      <w:r>
        <w:rPr>
          <w:rFonts w:hint="eastAsia" w:ascii="Times New Roman" w:hAnsi="Times New Roman" w:eastAsia="宋体" w:cs="Times New Roman"/>
          <w:color w:val="auto"/>
          <w:kern w:val="0"/>
          <w:sz w:val="20"/>
          <w:szCs w:val="22"/>
          <w:highlight w:val="none"/>
          <w:lang w:val="en-US" w:eastAsia="zh-CN" w:bidi="ar-SA"/>
        </w:rPr>
        <w:t>In TS38.306,</w:t>
      </w:r>
      <w:r>
        <w:rPr>
          <w:rFonts w:hint="eastAsia" w:ascii="Times New Roman" w:hAnsi="Times New Roman" w:cs="Times New Roman"/>
          <w:color w:val="auto"/>
          <w:kern w:val="0"/>
          <w:sz w:val="20"/>
          <w:szCs w:val="22"/>
          <w:highlight w:val="none"/>
          <w:lang w:val="en-US" w:eastAsia="zh-CN" w:bidi="ar-SA"/>
        </w:rPr>
        <w:t xml:space="preserve"> </w:t>
      </w:r>
      <w:r>
        <w:rPr>
          <w:rFonts w:hint="default" w:ascii="Times New Roman" w:hAnsi="Times New Roman" w:eastAsia="宋体" w:cs="Times New Roman"/>
          <w:color w:val="auto"/>
          <w:kern w:val="0"/>
          <w:sz w:val="20"/>
          <w:szCs w:val="22"/>
          <w:highlight w:val="none"/>
          <w:lang w:val="en-US" w:eastAsia="zh-CN" w:bidi="ar-SA"/>
        </w:rPr>
        <w:t xml:space="preserve">the </w:t>
      </w:r>
      <w:r>
        <w:rPr>
          <w:rFonts w:hint="eastAsia" w:ascii="Times New Roman" w:hAnsi="Times New Roman" w:cs="Times New Roman"/>
          <w:color w:val="auto"/>
          <w:kern w:val="0"/>
          <w:sz w:val="20"/>
          <w:szCs w:val="22"/>
          <w:highlight w:val="none"/>
          <w:lang w:val="en-US" w:eastAsia="zh-CN" w:bidi="ar-SA"/>
        </w:rPr>
        <w:t>m</w:t>
      </w:r>
      <w:r>
        <w:rPr>
          <w:rFonts w:hint="default" w:ascii="Times New Roman" w:hAnsi="Times New Roman" w:eastAsia="宋体" w:cs="Times New Roman"/>
          <w:color w:val="auto"/>
          <w:kern w:val="0"/>
          <w:sz w:val="20"/>
          <w:szCs w:val="22"/>
          <w:highlight w:val="none"/>
          <w:lang w:val="en-US" w:eastAsia="zh-CN" w:bidi="ar-SA"/>
        </w:rPr>
        <w:t xml:space="preserve">aximum uplink duty cycle for </w:t>
      </w:r>
      <w:r>
        <w:rPr>
          <w:rFonts w:hint="default" w:ascii="Times New Roman" w:hAnsi="Times New Roman" w:cs="Times New Roman"/>
          <w:color w:val="auto"/>
          <w:kern w:val="0"/>
          <w:sz w:val="20"/>
          <w:szCs w:val="22"/>
          <w:highlight w:val="none"/>
          <w:lang w:val="en-US" w:eastAsia="zh-CN" w:bidi="ar-SA"/>
        </w:rPr>
        <w:t xml:space="preserve">PC2 </w:t>
      </w:r>
      <w:r>
        <w:rPr>
          <w:rFonts w:hint="default" w:ascii="Times New Roman" w:hAnsi="Times New Roman" w:eastAsia="宋体" w:cs="Times New Roman"/>
          <w:color w:val="auto"/>
          <w:kern w:val="0"/>
          <w:sz w:val="20"/>
          <w:szCs w:val="22"/>
          <w:highlight w:val="none"/>
          <w:lang w:val="en-US" w:eastAsia="zh-CN" w:bidi="ar-SA"/>
        </w:rPr>
        <w:t xml:space="preserve">FDD+TDD EN-DC </w:t>
      </w:r>
      <w:r>
        <w:rPr>
          <w:rFonts w:hint="default" w:ascii="Times New Roman" w:hAnsi="Times New Roman" w:cs="Times New Roman"/>
          <w:color w:val="auto"/>
          <w:kern w:val="0"/>
          <w:sz w:val="20"/>
          <w:szCs w:val="22"/>
          <w:highlight w:val="none"/>
          <w:lang w:val="en-US" w:eastAsia="zh-CN" w:bidi="ar-SA"/>
        </w:rPr>
        <w:t>and PC2 TDD+TDD ENDC are</w:t>
      </w:r>
      <w:r>
        <w:rPr>
          <w:rFonts w:hint="default" w:ascii="Times New Roman" w:hAnsi="Times New Roman" w:eastAsia="宋体" w:cs="Times New Roman"/>
          <w:i w:val="0"/>
          <w:iCs w:val="0"/>
          <w:color w:val="auto"/>
          <w:kern w:val="0"/>
          <w:sz w:val="20"/>
          <w:szCs w:val="22"/>
          <w:highlight w:val="none"/>
          <w:lang w:val="en-US" w:eastAsia="zh-CN" w:bidi="ar-SA"/>
        </w:rPr>
        <w:t xml:space="preserve"> indicated by</w:t>
      </w:r>
      <w:r>
        <w:rPr>
          <w:rFonts w:hint="default" w:ascii="Times New Roman" w:hAnsi="Times New Roman" w:eastAsia="宋体" w:cs="Times New Roman"/>
          <w:i/>
          <w:iCs/>
          <w:color w:val="auto"/>
          <w:kern w:val="0"/>
          <w:sz w:val="20"/>
          <w:szCs w:val="22"/>
          <w:highlight w:val="none"/>
          <w:lang w:val="en-US" w:eastAsia="zh-CN" w:bidi="ar-SA"/>
        </w:rPr>
        <w:t xml:space="preserve"> </w:t>
      </w:r>
      <w:r>
        <w:rPr>
          <w:rFonts w:hint="default" w:ascii="Times New Roman" w:hAnsi="Times New Roman" w:eastAsia="宋体" w:cs="Times New Roman"/>
          <w:i/>
          <w:iCs/>
          <w:color w:val="auto"/>
          <w:kern w:val="0"/>
          <w:sz w:val="20"/>
          <w:szCs w:val="22"/>
          <w:highlight w:val="none"/>
          <w:lang w:val="en-US" w:eastAsia="ko-KR" w:bidi="ar-SA"/>
        </w:rPr>
        <w:t>maxUplinkDutyCycle</w:t>
      </w:r>
      <w:r>
        <w:rPr>
          <w:rFonts w:hint="default" w:ascii="Times New Roman" w:hAnsi="Times New Roman" w:eastAsia="宋体" w:cs="Times New Roman"/>
          <w:i/>
          <w:iCs/>
          <w:color w:val="auto"/>
          <w:kern w:val="0"/>
          <w:sz w:val="20"/>
          <w:szCs w:val="22"/>
          <w:highlight w:val="none"/>
          <w:lang w:val="en-US" w:eastAsia="zh-CN" w:bidi="ar-SA"/>
        </w:rPr>
        <w:t>-interBandENDC-FDD-TDD-PC2-r16</w:t>
      </w:r>
      <w:r>
        <w:rPr>
          <w:rFonts w:hint="default" w:ascii="Times New Roman" w:hAnsi="Times New Roman" w:cs="Times New Roman"/>
          <w:i/>
          <w:iCs/>
          <w:color w:val="auto"/>
          <w:kern w:val="0"/>
          <w:sz w:val="20"/>
          <w:szCs w:val="22"/>
          <w:highlight w:val="none"/>
          <w:lang w:val="en-US" w:eastAsia="zh-CN" w:bidi="ar-SA"/>
        </w:rPr>
        <w:t xml:space="preserve"> </w:t>
      </w:r>
      <w:r>
        <w:rPr>
          <w:rFonts w:hint="default" w:ascii="Times New Roman" w:hAnsi="Times New Roman" w:cs="Times New Roman"/>
          <w:i w:val="0"/>
          <w:iCs w:val="0"/>
          <w:color w:val="auto"/>
          <w:kern w:val="0"/>
          <w:sz w:val="20"/>
          <w:szCs w:val="22"/>
          <w:highlight w:val="none"/>
          <w:lang w:val="en-US" w:eastAsia="zh-CN" w:bidi="ar-SA"/>
        </w:rPr>
        <w:t xml:space="preserve">and </w:t>
      </w:r>
      <w:r>
        <w:rPr>
          <w:rFonts w:hint="default" w:ascii="Times New Roman" w:hAnsi="Times New Roman" w:eastAsia="宋体" w:cs="Times New Roman"/>
          <w:i/>
          <w:iCs/>
          <w:color w:val="auto"/>
          <w:kern w:val="0"/>
          <w:sz w:val="20"/>
          <w:szCs w:val="22"/>
          <w:highlight w:val="none"/>
          <w:lang w:val="en-US" w:eastAsia="zh-CN" w:bidi="ar-SA"/>
        </w:rPr>
        <w:t xml:space="preserve">maxUplinkDutyCycle-interBandENDC-TDD-PC2-r16, </w:t>
      </w:r>
      <w:r>
        <w:rPr>
          <w:rFonts w:hint="default" w:ascii="Times New Roman" w:hAnsi="Times New Roman" w:cs="Times New Roman"/>
          <w:i w:val="0"/>
          <w:iCs w:val="0"/>
          <w:color w:val="auto"/>
          <w:kern w:val="0"/>
          <w:sz w:val="20"/>
          <w:szCs w:val="22"/>
          <w:highlight w:val="none"/>
          <w:lang w:val="en-US" w:eastAsia="zh-CN" w:bidi="ar-SA"/>
        </w:rPr>
        <w:t xml:space="preserve">respectively. </w:t>
      </w:r>
      <w:r>
        <w:rPr>
          <w:rFonts w:hint="eastAsia" w:ascii="Times New Roman" w:hAnsi="Times New Roman" w:cs="Times New Roman"/>
          <w:i w:val="0"/>
          <w:iCs w:val="0"/>
          <w:color w:val="auto"/>
          <w:kern w:val="0"/>
          <w:sz w:val="20"/>
          <w:szCs w:val="22"/>
          <w:highlight w:val="none"/>
          <w:lang w:val="en-US" w:eastAsia="zh-CN" w:bidi="ar-SA"/>
        </w:rPr>
        <w:t xml:space="preserve"> Due to the fixed LTE</w:t>
      </w:r>
      <w:r>
        <w:rPr>
          <w:rFonts w:hint="eastAsia" w:ascii="Times New Roman" w:hAnsi="Times New Roman" w:eastAsia="宋体" w:cs="Times New Roman"/>
          <w:color w:val="auto"/>
          <w:kern w:val="0"/>
          <w:sz w:val="20"/>
          <w:szCs w:val="22"/>
          <w:highlight w:val="none"/>
          <w:lang w:val="en-US" w:eastAsia="zh-CN" w:bidi="ar-SA"/>
        </w:rPr>
        <w:t xml:space="preserve"> FDD band reference configurations</w:t>
      </w:r>
      <w:r>
        <w:rPr>
          <w:rFonts w:hint="eastAsia" w:ascii="Times New Roman" w:hAnsi="Times New Roman" w:cs="Times New Roman"/>
          <w:color w:val="auto"/>
          <w:kern w:val="0"/>
          <w:sz w:val="20"/>
          <w:szCs w:val="22"/>
          <w:highlight w:val="none"/>
          <w:lang w:val="en-US" w:eastAsia="zh-CN" w:bidi="ar-SA"/>
        </w:rPr>
        <w:t xml:space="preserve"> for </w:t>
      </w:r>
      <w:r>
        <w:rPr>
          <w:rFonts w:hint="default" w:ascii="Times New Roman" w:hAnsi="Times New Roman" w:eastAsia="宋体" w:cs="Times New Roman"/>
          <w:color w:val="auto"/>
          <w:kern w:val="0"/>
          <w:sz w:val="20"/>
          <w:szCs w:val="22"/>
          <w:highlight w:val="none"/>
          <w:lang w:val="en-US" w:eastAsia="zh-CN" w:bidi="ar-SA"/>
        </w:rPr>
        <w:t xml:space="preserve"> </w:t>
      </w:r>
      <w:r>
        <w:rPr>
          <w:rFonts w:hint="default" w:ascii="Times New Roman" w:hAnsi="Times New Roman" w:cs="Times New Roman"/>
          <w:color w:val="auto"/>
          <w:kern w:val="0"/>
          <w:sz w:val="20"/>
          <w:szCs w:val="22"/>
          <w:highlight w:val="none"/>
          <w:lang w:val="en-US" w:eastAsia="zh-CN" w:bidi="ar-SA"/>
        </w:rPr>
        <w:t xml:space="preserve">PC2 </w:t>
      </w:r>
      <w:r>
        <w:rPr>
          <w:rFonts w:hint="default" w:ascii="Times New Roman" w:hAnsi="Times New Roman" w:eastAsia="宋体" w:cs="Times New Roman"/>
          <w:color w:val="auto"/>
          <w:kern w:val="0"/>
          <w:sz w:val="20"/>
          <w:szCs w:val="22"/>
          <w:highlight w:val="none"/>
          <w:lang w:val="en-US" w:eastAsia="zh-CN" w:bidi="ar-SA"/>
        </w:rPr>
        <w:t>FDD+TDD EN-DC</w:t>
      </w:r>
      <w:r>
        <w:rPr>
          <w:rFonts w:hint="eastAsia" w:ascii="Times New Roman" w:hAnsi="Times New Roman" w:cs="Times New Roman"/>
          <w:color w:val="auto"/>
          <w:kern w:val="0"/>
          <w:sz w:val="20"/>
          <w:szCs w:val="22"/>
          <w:highlight w:val="none"/>
          <w:lang w:val="en-US" w:eastAsia="zh-CN" w:bidi="ar-SA"/>
        </w:rPr>
        <w:t xml:space="preserve"> and </w:t>
      </w:r>
      <w:r>
        <w:rPr>
          <w:rFonts w:hint="eastAsia" w:ascii="Times New Roman" w:hAnsi="Times New Roman" w:cs="Times New Roman"/>
          <w:i w:val="0"/>
          <w:iCs w:val="0"/>
          <w:color w:val="auto"/>
          <w:kern w:val="0"/>
          <w:sz w:val="20"/>
          <w:szCs w:val="22"/>
          <w:highlight w:val="none"/>
          <w:lang w:val="en-US" w:eastAsia="zh-CN" w:bidi="ar-SA"/>
        </w:rPr>
        <w:t>fixed</w:t>
      </w:r>
      <w:r>
        <w:rPr>
          <w:rFonts w:hint="eastAsia" w:ascii="Times New Roman" w:hAnsi="Times New Roman" w:eastAsia="宋体" w:cs="Times New Roman"/>
          <w:color w:val="auto"/>
          <w:kern w:val="0"/>
          <w:sz w:val="20"/>
          <w:szCs w:val="22"/>
          <w:highlight w:val="none"/>
          <w:lang w:val="en-US" w:eastAsia="zh-CN" w:bidi="ar-SA"/>
        </w:rPr>
        <w:t xml:space="preserve"> </w:t>
      </w:r>
      <w:r>
        <w:rPr>
          <w:rFonts w:hint="eastAsia" w:ascii="Times New Roman" w:hAnsi="Times New Roman" w:cs="Times New Roman"/>
          <w:color w:val="auto"/>
          <w:kern w:val="0"/>
          <w:sz w:val="20"/>
          <w:szCs w:val="22"/>
          <w:highlight w:val="none"/>
          <w:lang w:val="en-US" w:eastAsia="zh-CN" w:bidi="ar-SA"/>
        </w:rPr>
        <w:t>LTE TDD</w:t>
      </w:r>
      <w:r>
        <w:rPr>
          <w:rFonts w:hint="eastAsia" w:ascii="Times New Roman" w:hAnsi="Times New Roman" w:eastAsia="宋体" w:cs="Times New Roman"/>
          <w:color w:val="auto"/>
          <w:kern w:val="0"/>
          <w:sz w:val="20"/>
          <w:szCs w:val="22"/>
          <w:highlight w:val="none"/>
          <w:lang w:val="en-US" w:eastAsia="zh-CN" w:bidi="ar-SA"/>
        </w:rPr>
        <w:t xml:space="preserve"> band </w:t>
      </w:r>
      <w:r>
        <w:rPr>
          <w:rFonts w:hint="eastAsia" w:ascii="Times New Roman" w:hAnsi="Times New Roman" w:cs="Times New Roman"/>
          <w:color w:val="auto"/>
          <w:kern w:val="0"/>
          <w:sz w:val="20"/>
          <w:szCs w:val="22"/>
          <w:highlight w:val="none"/>
          <w:lang w:val="en-US" w:eastAsia="zh-CN" w:bidi="ar-SA"/>
        </w:rPr>
        <w:t xml:space="preserve">DL/UL </w:t>
      </w:r>
      <w:r>
        <w:rPr>
          <w:rFonts w:hint="eastAsia" w:ascii="Times New Roman" w:hAnsi="Times New Roman" w:eastAsia="宋体" w:cs="Times New Roman"/>
          <w:color w:val="auto"/>
          <w:kern w:val="0"/>
          <w:sz w:val="20"/>
          <w:szCs w:val="22"/>
          <w:highlight w:val="none"/>
          <w:lang w:val="en-US" w:eastAsia="zh-CN" w:bidi="ar-SA"/>
        </w:rPr>
        <w:t>configurations</w:t>
      </w:r>
      <w:r>
        <w:rPr>
          <w:rFonts w:hint="eastAsia" w:ascii="Times New Roman" w:hAnsi="Times New Roman" w:cs="Times New Roman"/>
          <w:color w:val="auto"/>
          <w:kern w:val="0"/>
          <w:sz w:val="20"/>
          <w:szCs w:val="22"/>
          <w:highlight w:val="none"/>
          <w:lang w:val="en-US" w:eastAsia="zh-CN" w:bidi="ar-SA"/>
        </w:rPr>
        <w:t xml:space="preserve"> for</w:t>
      </w:r>
      <w:r>
        <w:rPr>
          <w:rFonts w:hint="default" w:ascii="Times New Roman" w:hAnsi="Times New Roman" w:eastAsia="宋体" w:cs="Times New Roman"/>
          <w:color w:val="auto"/>
          <w:kern w:val="0"/>
          <w:sz w:val="20"/>
          <w:szCs w:val="22"/>
          <w:highlight w:val="none"/>
          <w:lang w:val="en-US" w:eastAsia="zh-CN" w:bidi="ar-SA"/>
        </w:rPr>
        <w:t xml:space="preserve"> </w:t>
      </w:r>
      <w:r>
        <w:rPr>
          <w:rFonts w:hint="default" w:ascii="Times New Roman" w:hAnsi="Times New Roman" w:cs="Times New Roman"/>
          <w:color w:val="auto"/>
          <w:kern w:val="0"/>
          <w:sz w:val="20"/>
          <w:szCs w:val="22"/>
          <w:highlight w:val="none"/>
          <w:lang w:val="en-US" w:eastAsia="zh-CN" w:bidi="ar-SA"/>
        </w:rPr>
        <w:t xml:space="preserve">PC2 </w:t>
      </w:r>
      <w:r>
        <w:rPr>
          <w:rFonts w:hint="eastAsia" w:ascii="Times New Roman" w:hAnsi="Times New Roman" w:cs="Times New Roman"/>
          <w:color w:val="auto"/>
          <w:kern w:val="0"/>
          <w:sz w:val="20"/>
          <w:szCs w:val="22"/>
          <w:highlight w:val="none"/>
          <w:lang w:val="en-US" w:eastAsia="zh-CN" w:bidi="ar-SA"/>
        </w:rPr>
        <w:t>T</w:t>
      </w:r>
      <w:r>
        <w:rPr>
          <w:rFonts w:hint="default" w:ascii="Times New Roman" w:hAnsi="Times New Roman" w:eastAsia="宋体" w:cs="Times New Roman"/>
          <w:color w:val="auto"/>
          <w:kern w:val="0"/>
          <w:sz w:val="20"/>
          <w:szCs w:val="22"/>
          <w:highlight w:val="none"/>
          <w:lang w:val="en-US" w:eastAsia="zh-CN" w:bidi="ar-SA"/>
        </w:rPr>
        <w:t>DD+TDD EN-DC</w:t>
      </w:r>
      <w:r>
        <w:rPr>
          <w:rFonts w:hint="eastAsia" w:ascii="Times New Roman" w:hAnsi="Times New Roman" w:cs="Times New Roman"/>
          <w:color w:val="auto"/>
          <w:kern w:val="0"/>
          <w:sz w:val="20"/>
          <w:szCs w:val="22"/>
          <w:highlight w:val="none"/>
          <w:lang w:val="en-US" w:eastAsia="zh-CN" w:bidi="ar-SA"/>
        </w:rPr>
        <w:t>, the above two m</w:t>
      </w:r>
      <w:r>
        <w:rPr>
          <w:rFonts w:hint="default" w:ascii="Times New Roman" w:hAnsi="Times New Roman" w:eastAsia="宋体" w:cs="Times New Roman"/>
          <w:color w:val="auto"/>
          <w:kern w:val="0"/>
          <w:sz w:val="20"/>
          <w:szCs w:val="22"/>
          <w:highlight w:val="none"/>
          <w:lang w:val="en-US" w:eastAsia="zh-CN" w:bidi="ar-SA"/>
        </w:rPr>
        <w:t xml:space="preserve">aximum uplink duty cycle </w:t>
      </w:r>
      <w:r>
        <w:rPr>
          <w:rFonts w:hint="eastAsia" w:ascii="Times New Roman" w:hAnsi="Times New Roman" w:cs="Times New Roman"/>
          <w:color w:val="auto"/>
          <w:kern w:val="0"/>
          <w:sz w:val="20"/>
          <w:szCs w:val="22"/>
          <w:highlight w:val="none"/>
          <w:lang w:val="en-US" w:eastAsia="zh-CN" w:bidi="ar-SA"/>
        </w:rPr>
        <w:t xml:space="preserve">are used to indicate the NR TDD band uplink transmission. In our understanding, the NR band duty cycle capability is the same as </w:t>
      </w:r>
      <w:r>
        <w:rPr>
          <w:rFonts w:hint="default" w:ascii="Times New Roman" w:hAnsi="Times New Roman" w:eastAsia="宋体" w:cs="Times New Roman"/>
          <w:i/>
          <w:iCs/>
          <w:color w:val="auto"/>
          <w:kern w:val="0"/>
          <w:sz w:val="20"/>
          <w:szCs w:val="22"/>
          <w:highlight w:val="none"/>
          <w:lang w:val="en-US" w:eastAsia="ko-KR" w:bidi="ar-SA"/>
        </w:rPr>
        <w:t>maxUplinkDutyCycle</w:t>
      </w:r>
      <w:r>
        <w:rPr>
          <w:rFonts w:hint="default" w:ascii="Times New Roman" w:hAnsi="Times New Roman" w:eastAsia="宋体" w:cs="Times New Roman"/>
          <w:i/>
          <w:iCs/>
          <w:color w:val="auto"/>
          <w:kern w:val="0"/>
          <w:sz w:val="20"/>
          <w:szCs w:val="22"/>
          <w:highlight w:val="none"/>
          <w:lang w:val="en-US" w:eastAsia="zh-CN" w:bidi="ar-SA"/>
        </w:rPr>
        <w:t>-interBandENDC-FDD-TDD-PC2-r16</w:t>
      </w:r>
      <w:r>
        <w:rPr>
          <w:rFonts w:hint="default" w:ascii="Times New Roman" w:hAnsi="Times New Roman" w:cs="Times New Roman"/>
          <w:i/>
          <w:iCs/>
          <w:color w:val="auto"/>
          <w:kern w:val="0"/>
          <w:sz w:val="20"/>
          <w:szCs w:val="22"/>
          <w:highlight w:val="none"/>
          <w:lang w:val="en-US" w:eastAsia="zh-CN" w:bidi="ar-SA"/>
        </w:rPr>
        <w:t xml:space="preserve"> </w:t>
      </w:r>
      <w:r>
        <w:rPr>
          <w:rFonts w:hint="default" w:ascii="Times New Roman" w:hAnsi="Times New Roman" w:cs="Times New Roman"/>
          <w:i w:val="0"/>
          <w:iCs w:val="0"/>
          <w:color w:val="auto"/>
          <w:kern w:val="0"/>
          <w:sz w:val="20"/>
          <w:szCs w:val="22"/>
          <w:highlight w:val="none"/>
          <w:lang w:val="en-US" w:eastAsia="zh-CN" w:bidi="ar-SA"/>
        </w:rPr>
        <w:t xml:space="preserve">and </w:t>
      </w:r>
      <w:r>
        <w:rPr>
          <w:rFonts w:hint="default" w:ascii="Times New Roman" w:hAnsi="Times New Roman" w:eastAsia="宋体" w:cs="Times New Roman"/>
          <w:i/>
          <w:iCs/>
          <w:color w:val="auto"/>
          <w:kern w:val="0"/>
          <w:sz w:val="20"/>
          <w:szCs w:val="22"/>
          <w:highlight w:val="none"/>
          <w:lang w:val="en-US" w:eastAsia="zh-CN" w:bidi="ar-SA"/>
        </w:rPr>
        <w:t>maxUplinkDutyCycle-interBandENDC-TDD-PC2-r16</w:t>
      </w:r>
      <w:r>
        <w:rPr>
          <w:rFonts w:hint="eastAsia" w:ascii="Times New Roman" w:hAnsi="Times New Roman" w:cs="Times New Roman"/>
          <w:i/>
          <w:iCs/>
          <w:color w:val="auto"/>
          <w:kern w:val="0"/>
          <w:sz w:val="20"/>
          <w:szCs w:val="22"/>
          <w:highlight w:val="none"/>
          <w:lang w:val="en-US" w:eastAsia="zh-CN" w:bidi="ar-SA"/>
        </w:rPr>
        <w:t xml:space="preserve"> </w:t>
      </w:r>
      <w:r>
        <w:rPr>
          <w:rFonts w:hint="default" w:ascii="Times New Roman" w:hAnsi="Times New Roman" w:eastAsia="宋体" w:cs="Times New Roman"/>
          <w:color w:val="auto"/>
          <w:kern w:val="0"/>
          <w:sz w:val="20"/>
          <w:szCs w:val="22"/>
          <w:highlight w:val="none"/>
          <w:lang w:val="en-US" w:eastAsia="zh-CN" w:bidi="ar-SA"/>
        </w:rPr>
        <w:t xml:space="preserve">for </w:t>
      </w:r>
      <w:r>
        <w:rPr>
          <w:rFonts w:hint="default" w:ascii="Times New Roman" w:hAnsi="Times New Roman" w:cs="Times New Roman"/>
          <w:color w:val="auto"/>
          <w:kern w:val="0"/>
          <w:sz w:val="20"/>
          <w:szCs w:val="22"/>
          <w:highlight w:val="none"/>
          <w:lang w:val="en-US" w:eastAsia="zh-CN" w:bidi="ar-SA"/>
        </w:rPr>
        <w:t xml:space="preserve">PC2 </w:t>
      </w:r>
      <w:r>
        <w:rPr>
          <w:rFonts w:hint="default" w:ascii="Times New Roman" w:hAnsi="Times New Roman" w:eastAsia="宋体" w:cs="Times New Roman"/>
          <w:color w:val="auto"/>
          <w:kern w:val="0"/>
          <w:sz w:val="20"/>
          <w:szCs w:val="22"/>
          <w:highlight w:val="none"/>
          <w:lang w:val="en-US" w:eastAsia="zh-CN" w:bidi="ar-SA"/>
        </w:rPr>
        <w:t xml:space="preserve">FDD+TDD EN-DC </w:t>
      </w:r>
      <w:r>
        <w:rPr>
          <w:rFonts w:hint="default" w:ascii="Times New Roman" w:hAnsi="Times New Roman" w:cs="Times New Roman"/>
          <w:color w:val="auto"/>
          <w:kern w:val="0"/>
          <w:sz w:val="20"/>
          <w:szCs w:val="22"/>
          <w:highlight w:val="none"/>
          <w:lang w:val="en-US" w:eastAsia="zh-CN" w:bidi="ar-SA"/>
        </w:rPr>
        <w:t>and PC2 TDD+TDD ENDC</w:t>
      </w:r>
      <w:r>
        <w:rPr>
          <w:rFonts w:hint="eastAsia" w:ascii="Times New Roman" w:hAnsi="Times New Roman" w:cs="Times New Roman"/>
          <w:color w:val="auto"/>
          <w:kern w:val="0"/>
          <w:sz w:val="20"/>
          <w:szCs w:val="22"/>
          <w:highlight w:val="none"/>
          <w:lang w:val="en-US" w:eastAsia="zh-CN" w:bidi="ar-SA"/>
        </w:rPr>
        <w:t xml:space="preserve">, </w:t>
      </w:r>
      <w:r>
        <w:rPr>
          <w:rFonts w:hint="default" w:ascii="Times New Roman" w:hAnsi="Times New Roman" w:cs="Times New Roman"/>
          <w:i w:val="0"/>
          <w:iCs w:val="0"/>
          <w:color w:val="auto"/>
          <w:kern w:val="0"/>
          <w:sz w:val="20"/>
          <w:szCs w:val="22"/>
          <w:highlight w:val="none"/>
          <w:lang w:val="en-US" w:eastAsia="zh-CN" w:bidi="ar-SA"/>
        </w:rPr>
        <w:t>respectively</w:t>
      </w:r>
      <w:r>
        <w:rPr>
          <w:rFonts w:hint="eastAsia" w:ascii="Times New Roman" w:hAnsi="Times New Roman" w:cs="Times New Roman"/>
          <w:i w:val="0"/>
          <w:iCs w:val="0"/>
          <w:color w:val="auto"/>
          <w:kern w:val="0"/>
          <w:sz w:val="20"/>
          <w:szCs w:val="22"/>
          <w:highlight w:val="none"/>
          <w:lang w:val="en-US" w:eastAsia="zh-CN" w:bidi="ar-SA"/>
        </w:rPr>
        <w:t>, in the case of LTE reference configurations</w:t>
      </w:r>
      <w:r>
        <w:rPr>
          <w:rFonts w:hint="default" w:ascii="Times New Roman" w:hAnsi="Times New Roman" w:cs="Times New Roman"/>
          <w:i w:val="0"/>
          <w:iCs w:val="0"/>
          <w:color w:val="auto"/>
          <w:kern w:val="0"/>
          <w:sz w:val="20"/>
          <w:szCs w:val="22"/>
          <w:highlight w:val="none"/>
          <w:lang w:val="en-US" w:eastAsia="zh-CN" w:bidi="ar-SA"/>
        </w:rPr>
        <w:t xml:space="preserve">. </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kern w:val="0"/>
          <w:sz w:val="20"/>
          <w:szCs w:val="22"/>
          <w:highlight w:val="none"/>
          <w:lang w:val="en-US" w:eastAsia="zh-CN" w:bidi="ar-SA"/>
        </w:rPr>
      </w:pPr>
      <w:r>
        <w:rPr>
          <w:rFonts w:hint="eastAsia" w:eastAsia="宋体" w:cs="Times New Roman"/>
          <w:sz w:val="20"/>
          <w:szCs w:val="22"/>
          <w:highlight w:val="none"/>
          <w:lang w:val="en-US" w:eastAsia="zh-CN"/>
        </w:rPr>
        <w:t xml:space="preserve">For PC2 FDD-TDD inter NR CA, since the power configurations are the same with PC2 FDD-TDD ENDC, i.e. 23+23dBm and 23+26dBm. </w:t>
      </w:r>
      <w:r>
        <w:rPr>
          <w:rFonts w:hint="eastAsia" w:ascii="Times New Roman" w:hAnsi="Times New Roman" w:eastAsia="宋体" w:cs="Times New Roman"/>
          <w:color w:val="auto"/>
          <w:kern w:val="0"/>
          <w:sz w:val="20"/>
          <w:szCs w:val="22"/>
          <w:highlight w:val="none"/>
          <w:lang w:val="en-US" w:eastAsia="zh-CN" w:bidi="ar-SA"/>
        </w:rPr>
        <w:t>However, for PC2 TDD-TDD inter NR CA, there are four different cases for the power configurations of the two bands, while only 23+23dBm power configurations was considered when RAN4 discussed PC2 FDD-TDD ENDC. Therefore, it can be seen it is more complexity to report the duty cycle for each band in the case of more flexible NR TDD DL/UL configurations, and also it should also consider to distinguish the different cases of power configurations since the UE capability for each of cases may different to our understanding.</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color w:val="auto"/>
          <w:kern w:val="0"/>
          <w:sz w:val="20"/>
          <w:szCs w:val="22"/>
          <w:highlight w:val="none"/>
          <w:lang w:val="en-US" w:eastAsia="zh-CN" w:bidi="ar-SA"/>
        </w:rPr>
      </w:pPr>
      <w:r>
        <w:rPr>
          <w:rFonts w:hint="eastAsia" w:ascii="Times New Roman" w:hAnsi="Times New Roman" w:cs="Times New Roman"/>
          <w:color w:val="auto"/>
          <w:kern w:val="0"/>
          <w:sz w:val="20"/>
          <w:szCs w:val="22"/>
          <w:highlight w:val="none"/>
          <w:lang w:val="en-US" w:eastAsia="zh-CN" w:bidi="ar-SA"/>
        </w:rPr>
        <w:t>With the similar approach</w:t>
      </w:r>
      <w:r>
        <w:rPr>
          <w:rFonts w:hint="eastAsia" w:cs="Times New Roman"/>
          <w:color w:val="auto"/>
          <w:kern w:val="0"/>
          <w:sz w:val="20"/>
          <w:szCs w:val="22"/>
          <w:highlight w:val="none"/>
          <w:lang w:val="en-US" w:eastAsia="zh-CN" w:bidi="ar-SA"/>
        </w:rPr>
        <w:t xml:space="preserve"> as PC2 ENDC</w:t>
      </w:r>
      <w:r>
        <w:rPr>
          <w:rFonts w:hint="eastAsia" w:ascii="Times New Roman" w:hAnsi="Times New Roman" w:cs="Times New Roman"/>
          <w:color w:val="auto"/>
          <w:kern w:val="0"/>
          <w:sz w:val="20"/>
          <w:szCs w:val="22"/>
          <w:highlight w:val="none"/>
          <w:lang w:val="en-US" w:eastAsia="zh-CN" w:bidi="ar-SA"/>
        </w:rPr>
        <w:t>, we propose that report</w:t>
      </w:r>
      <w:r>
        <w:rPr>
          <w:rFonts w:hint="eastAsia" w:cs="Times New Roman"/>
          <w:color w:val="auto"/>
          <w:kern w:val="0"/>
          <w:sz w:val="20"/>
          <w:szCs w:val="22"/>
          <w:highlight w:val="none"/>
          <w:lang w:val="en-US" w:eastAsia="zh-CN" w:bidi="ar-SA"/>
        </w:rPr>
        <w:t>ing</w:t>
      </w:r>
      <w:r>
        <w:rPr>
          <w:rFonts w:hint="eastAsia" w:ascii="Times New Roman" w:hAnsi="Times New Roman" w:cs="Times New Roman"/>
          <w:color w:val="auto"/>
          <w:kern w:val="0"/>
          <w:sz w:val="20"/>
          <w:szCs w:val="22"/>
          <w:highlight w:val="none"/>
          <w:lang w:val="en-US" w:eastAsia="zh-CN" w:bidi="ar-SA"/>
        </w:rPr>
        <w:t xml:space="preserve"> both total duty cycle capability and duty cycle of PCell</w:t>
      </w:r>
      <w:r>
        <w:rPr>
          <w:rFonts w:hint="eastAsia" w:cs="Times New Roman"/>
          <w:color w:val="auto"/>
          <w:kern w:val="0"/>
          <w:sz w:val="20"/>
          <w:szCs w:val="22"/>
          <w:highlight w:val="none"/>
          <w:lang w:val="en-US" w:eastAsia="zh-CN" w:bidi="ar-SA"/>
        </w:rPr>
        <w:t xml:space="preserve"> band</w:t>
      </w:r>
      <w:r>
        <w:rPr>
          <w:rFonts w:hint="eastAsia" w:ascii="Times New Roman" w:hAnsi="Times New Roman" w:cs="Times New Roman"/>
          <w:color w:val="auto"/>
          <w:kern w:val="0"/>
          <w:sz w:val="20"/>
          <w:szCs w:val="22"/>
          <w:highlight w:val="none"/>
          <w:lang w:val="en-US" w:eastAsia="zh-CN" w:bidi="ar-SA"/>
        </w:rPr>
        <w:t>.</w:t>
      </w:r>
      <w:r>
        <w:rPr>
          <w:rFonts w:hint="eastAsia" w:cs="Times New Roman"/>
          <w:color w:val="auto"/>
          <w:kern w:val="0"/>
          <w:sz w:val="20"/>
          <w:szCs w:val="22"/>
          <w:highlight w:val="none"/>
          <w:lang w:val="en-US" w:eastAsia="zh-CN" w:bidi="ar-SA"/>
        </w:rPr>
        <w:t xml:space="preserve"> </w:t>
      </w:r>
    </w:p>
    <w:p>
      <w:pPr>
        <w:keepNext/>
        <w:keepLines w:val="0"/>
        <w:pageBreakBefore w:val="0"/>
        <w:widowControl w:val="0"/>
        <w:numPr>
          <w:ilvl w:val="2"/>
          <w:numId w:val="0"/>
        </w:numPr>
        <w:kinsoku/>
        <w:wordWrap/>
        <w:overflowPunct/>
        <w:topLinePunct w:val="0"/>
        <w:autoSpaceDE/>
        <w:autoSpaceDN/>
        <w:bidi w:val="0"/>
        <w:adjustRightInd/>
        <w:snapToGrid/>
        <w:spacing w:after="120"/>
        <w:ind w:left="220" w:leftChars="100"/>
        <w:textAlignment w:val="auto"/>
        <w:outlineLvl w:val="9"/>
        <w:rPr>
          <w:rFonts w:hint="eastAsia" w:eastAsia="宋体" w:cs="Times New Roman"/>
          <w:sz w:val="20"/>
          <w:szCs w:val="22"/>
          <w:highlight w:val="none"/>
          <w:lang w:val="en-US" w:eastAsia="zh-CN"/>
        </w:rPr>
      </w:pPr>
      <w:r>
        <w:rPr>
          <w:rFonts w:hint="eastAsia" w:cs="Times New Roman"/>
          <w:color w:val="auto"/>
          <w:kern w:val="0"/>
          <w:sz w:val="20"/>
          <w:szCs w:val="22"/>
          <w:highlight w:val="none"/>
          <w:lang w:val="en-US" w:eastAsia="zh-CN" w:bidi="ar-SA"/>
        </w:rPr>
        <w:t xml:space="preserve">- </w:t>
      </w:r>
      <w:r>
        <w:rPr>
          <w:rFonts w:hint="eastAsia" w:eastAsia="宋体" w:cs="Times New Roman"/>
          <w:sz w:val="20"/>
          <w:szCs w:val="22"/>
          <w:highlight w:val="none"/>
          <w:lang w:val="en-US" w:eastAsia="zh-CN"/>
        </w:rPr>
        <w:t>For PC2 FDD-TDD inter NR CA, d</w:t>
      </w:r>
      <w:r>
        <w:rPr>
          <w:rFonts w:hint="eastAsia" w:ascii="Times New Roman" w:hAnsi="Times New Roman" w:cs="Times New Roman"/>
          <w:color w:val="auto"/>
          <w:kern w:val="0"/>
          <w:sz w:val="20"/>
          <w:szCs w:val="22"/>
          <w:highlight w:val="none"/>
          <w:lang w:val="en-US" w:eastAsia="zh-CN" w:bidi="ar-SA"/>
        </w:rPr>
        <w:t xml:space="preserve">uty cycle of </w:t>
      </w:r>
      <w:r>
        <w:rPr>
          <w:rFonts w:hint="eastAsia" w:cs="Times New Roman"/>
          <w:color w:val="auto"/>
          <w:kern w:val="0"/>
          <w:sz w:val="20"/>
          <w:szCs w:val="22"/>
          <w:highlight w:val="none"/>
          <w:lang w:val="en-US" w:eastAsia="zh-CN" w:bidi="ar-SA"/>
        </w:rPr>
        <w:t xml:space="preserve">NR </w:t>
      </w:r>
      <w:r>
        <w:rPr>
          <w:rFonts w:hint="eastAsia" w:ascii="Times New Roman" w:hAnsi="Times New Roman" w:cs="Times New Roman"/>
          <w:color w:val="auto"/>
          <w:kern w:val="0"/>
          <w:sz w:val="20"/>
          <w:szCs w:val="22"/>
          <w:highlight w:val="none"/>
          <w:lang w:val="en-US" w:eastAsia="zh-CN" w:bidi="ar-SA"/>
        </w:rPr>
        <w:t>PCell</w:t>
      </w:r>
      <w:r>
        <w:rPr>
          <w:rFonts w:hint="eastAsia" w:cs="Times New Roman"/>
          <w:color w:val="auto"/>
          <w:kern w:val="0"/>
          <w:sz w:val="20"/>
          <w:szCs w:val="22"/>
          <w:highlight w:val="none"/>
          <w:lang w:val="en-US" w:eastAsia="zh-CN" w:bidi="ar-SA"/>
        </w:rPr>
        <w:t xml:space="preserve"> band(if it is FDD band)</w:t>
      </w:r>
      <w:r>
        <w:rPr>
          <w:rFonts w:hint="eastAsia" w:ascii="Times New Roman" w:hAnsi="Times New Roman" w:cs="Times New Roman"/>
          <w:color w:val="auto"/>
          <w:kern w:val="0"/>
          <w:sz w:val="20"/>
          <w:szCs w:val="22"/>
          <w:highlight w:val="none"/>
          <w:lang w:val="en-US" w:eastAsia="zh-CN" w:bidi="ar-SA"/>
        </w:rPr>
        <w:t xml:space="preserve"> can use </w:t>
      </w:r>
      <w:r>
        <w:rPr>
          <w:rFonts w:hint="eastAsia" w:eastAsia="宋体" w:cs="Times New Roman"/>
          <w:sz w:val="20"/>
          <w:szCs w:val="22"/>
          <w:highlight w:val="none"/>
          <w:lang w:val="en-US" w:eastAsia="zh-CN"/>
        </w:rPr>
        <w:t xml:space="preserve">the same values set of {40%, 70%} as starting point, then the </w:t>
      </w:r>
      <w:r>
        <w:rPr>
          <w:rFonts w:hint="eastAsia" w:cs="Times New Roman"/>
          <w:color w:val="auto"/>
          <w:kern w:val="0"/>
          <w:sz w:val="20"/>
          <w:szCs w:val="22"/>
          <w:highlight w:val="none"/>
          <w:lang w:val="en-US" w:eastAsia="zh-CN" w:bidi="ar-SA"/>
        </w:rPr>
        <w:t>NR S</w:t>
      </w:r>
      <w:r>
        <w:rPr>
          <w:rFonts w:hint="eastAsia" w:ascii="Times New Roman" w:hAnsi="Times New Roman" w:cs="Times New Roman"/>
          <w:color w:val="auto"/>
          <w:kern w:val="0"/>
          <w:sz w:val="20"/>
          <w:szCs w:val="22"/>
          <w:highlight w:val="none"/>
          <w:lang w:val="en-US" w:eastAsia="zh-CN" w:bidi="ar-SA"/>
        </w:rPr>
        <w:t>Cell</w:t>
      </w:r>
      <w:r>
        <w:rPr>
          <w:rFonts w:hint="eastAsia" w:cs="Times New Roman"/>
          <w:color w:val="auto"/>
          <w:kern w:val="0"/>
          <w:sz w:val="20"/>
          <w:szCs w:val="22"/>
          <w:highlight w:val="none"/>
          <w:lang w:val="en-US" w:eastAsia="zh-CN" w:bidi="ar-SA"/>
        </w:rPr>
        <w:t xml:space="preserve"> band </w:t>
      </w:r>
      <w:r>
        <w:rPr>
          <w:rFonts w:hint="eastAsia" w:ascii="Times New Roman" w:hAnsi="Times New Roman" w:cs="Times New Roman"/>
          <w:color w:val="auto"/>
          <w:kern w:val="0"/>
          <w:sz w:val="20"/>
          <w:szCs w:val="22"/>
          <w:highlight w:val="none"/>
          <w:lang w:val="en-US" w:eastAsia="zh-CN" w:bidi="ar-SA"/>
        </w:rPr>
        <w:t xml:space="preserve"> duty cycle capability</w:t>
      </w:r>
      <w:r>
        <w:rPr>
          <w:rFonts w:hint="eastAsia" w:cs="Times New Roman"/>
          <w:color w:val="auto"/>
          <w:kern w:val="0"/>
          <w:sz w:val="20"/>
          <w:szCs w:val="22"/>
          <w:highlight w:val="none"/>
          <w:lang w:val="en-US" w:eastAsia="zh-CN" w:bidi="ar-SA"/>
        </w:rPr>
        <w:t xml:space="preserve"> can be indicated by the </w:t>
      </w:r>
      <w:r>
        <w:rPr>
          <w:rFonts w:hint="eastAsia" w:ascii="Times New Roman" w:hAnsi="Times New Roman" w:cs="Times New Roman"/>
          <w:color w:val="auto"/>
          <w:kern w:val="0"/>
          <w:sz w:val="20"/>
          <w:szCs w:val="22"/>
          <w:highlight w:val="none"/>
          <w:lang w:val="en-US" w:eastAsia="zh-CN" w:bidi="ar-SA"/>
        </w:rPr>
        <w:t>total duty cycle capability</w:t>
      </w:r>
      <w:r>
        <w:rPr>
          <w:rFonts w:hint="eastAsia" w:cs="Times New Roman"/>
          <w:color w:val="auto"/>
          <w:kern w:val="0"/>
          <w:sz w:val="20"/>
          <w:szCs w:val="22"/>
          <w:highlight w:val="none"/>
          <w:lang w:val="en-US" w:eastAsia="zh-CN" w:bidi="ar-SA"/>
        </w:rPr>
        <w:t xml:space="preserve">. if the NR </w:t>
      </w:r>
      <w:r>
        <w:rPr>
          <w:rFonts w:hint="eastAsia" w:ascii="Times New Roman" w:hAnsi="Times New Roman" w:cs="Times New Roman"/>
          <w:color w:val="auto"/>
          <w:kern w:val="0"/>
          <w:sz w:val="20"/>
          <w:szCs w:val="22"/>
          <w:highlight w:val="none"/>
          <w:lang w:val="en-US" w:eastAsia="zh-CN" w:bidi="ar-SA"/>
        </w:rPr>
        <w:t>PCell</w:t>
      </w:r>
      <w:r>
        <w:rPr>
          <w:rFonts w:hint="eastAsia" w:cs="Times New Roman"/>
          <w:color w:val="auto"/>
          <w:kern w:val="0"/>
          <w:sz w:val="20"/>
          <w:szCs w:val="22"/>
          <w:highlight w:val="none"/>
          <w:lang w:val="en-US" w:eastAsia="zh-CN" w:bidi="ar-SA"/>
        </w:rPr>
        <w:t xml:space="preserve"> band is TDD band, then </w:t>
      </w:r>
      <w:r>
        <w:rPr>
          <w:rFonts w:hint="eastAsia" w:eastAsia="宋体" w:cs="Times New Roman"/>
          <w:sz w:val="20"/>
          <w:szCs w:val="22"/>
          <w:highlight w:val="none"/>
          <w:lang w:val="en-US" w:eastAsia="zh-CN"/>
        </w:rPr>
        <w:t>d</w:t>
      </w:r>
      <w:r>
        <w:rPr>
          <w:rFonts w:hint="eastAsia" w:ascii="Times New Roman" w:hAnsi="Times New Roman" w:cs="Times New Roman"/>
          <w:color w:val="auto"/>
          <w:kern w:val="0"/>
          <w:sz w:val="20"/>
          <w:szCs w:val="22"/>
          <w:highlight w:val="none"/>
          <w:lang w:val="en-US" w:eastAsia="zh-CN" w:bidi="ar-SA"/>
        </w:rPr>
        <w:t xml:space="preserve">uty cycle of </w:t>
      </w:r>
      <w:r>
        <w:rPr>
          <w:rFonts w:hint="eastAsia" w:cs="Times New Roman"/>
          <w:color w:val="auto"/>
          <w:kern w:val="0"/>
          <w:sz w:val="20"/>
          <w:szCs w:val="22"/>
          <w:highlight w:val="none"/>
          <w:lang w:val="en-US" w:eastAsia="zh-CN" w:bidi="ar-SA"/>
        </w:rPr>
        <w:t xml:space="preserve">NR </w:t>
      </w:r>
      <w:r>
        <w:rPr>
          <w:rFonts w:hint="eastAsia" w:ascii="Times New Roman" w:hAnsi="Times New Roman" w:cs="Times New Roman"/>
          <w:color w:val="auto"/>
          <w:kern w:val="0"/>
          <w:sz w:val="20"/>
          <w:szCs w:val="22"/>
          <w:highlight w:val="none"/>
          <w:lang w:val="en-US" w:eastAsia="zh-CN" w:bidi="ar-SA"/>
        </w:rPr>
        <w:t>PCell</w:t>
      </w:r>
      <w:r>
        <w:rPr>
          <w:rFonts w:hint="eastAsia" w:cs="Times New Roman"/>
          <w:color w:val="auto"/>
          <w:kern w:val="0"/>
          <w:sz w:val="20"/>
          <w:szCs w:val="22"/>
          <w:highlight w:val="none"/>
          <w:lang w:val="en-US" w:eastAsia="zh-CN" w:bidi="ar-SA"/>
        </w:rPr>
        <w:t xml:space="preserve"> band is FFS, and NR S</w:t>
      </w:r>
      <w:r>
        <w:rPr>
          <w:rFonts w:hint="eastAsia" w:ascii="Times New Roman" w:hAnsi="Times New Roman" w:cs="Times New Roman"/>
          <w:color w:val="auto"/>
          <w:kern w:val="0"/>
          <w:sz w:val="20"/>
          <w:szCs w:val="22"/>
          <w:highlight w:val="none"/>
          <w:lang w:val="en-US" w:eastAsia="zh-CN" w:bidi="ar-SA"/>
        </w:rPr>
        <w:t>Cell</w:t>
      </w:r>
      <w:r>
        <w:rPr>
          <w:rFonts w:hint="eastAsia" w:cs="Times New Roman"/>
          <w:color w:val="auto"/>
          <w:kern w:val="0"/>
          <w:sz w:val="20"/>
          <w:szCs w:val="22"/>
          <w:highlight w:val="none"/>
          <w:lang w:val="en-US" w:eastAsia="zh-CN" w:bidi="ar-SA"/>
        </w:rPr>
        <w:t xml:space="preserve"> band</w:t>
      </w:r>
      <w:r>
        <w:rPr>
          <w:rFonts w:hint="eastAsia" w:ascii="Times New Roman" w:hAnsi="Times New Roman" w:cs="Times New Roman"/>
          <w:color w:val="auto"/>
          <w:kern w:val="0"/>
          <w:sz w:val="20"/>
          <w:szCs w:val="22"/>
          <w:highlight w:val="none"/>
          <w:lang w:val="en-US" w:eastAsia="zh-CN" w:bidi="ar-SA"/>
        </w:rPr>
        <w:t xml:space="preserve"> duty cycle capability</w:t>
      </w:r>
      <w:r>
        <w:rPr>
          <w:rFonts w:hint="eastAsia" w:cs="Times New Roman"/>
          <w:color w:val="auto"/>
          <w:kern w:val="0"/>
          <w:sz w:val="20"/>
          <w:szCs w:val="22"/>
          <w:highlight w:val="none"/>
          <w:lang w:val="en-US" w:eastAsia="zh-CN" w:bidi="ar-SA"/>
        </w:rPr>
        <w:t xml:space="preserve"> can be indicated by the </w:t>
      </w:r>
      <w:r>
        <w:rPr>
          <w:rFonts w:hint="eastAsia" w:ascii="Times New Roman" w:hAnsi="Times New Roman" w:cs="Times New Roman"/>
          <w:color w:val="auto"/>
          <w:kern w:val="0"/>
          <w:sz w:val="20"/>
          <w:szCs w:val="22"/>
          <w:highlight w:val="none"/>
          <w:lang w:val="en-US" w:eastAsia="zh-CN" w:bidi="ar-SA"/>
        </w:rPr>
        <w:t>total duty cycle capability</w:t>
      </w:r>
      <w:r>
        <w:rPr>
          <w:rFonts w:hint="eastAsia" w:cs="Times New Roman"/>
          <w:color w:val="auto"/>
          <w:kern w:val="0"/>
          <w:sz w:val="20"/>
          <w:szCs w:val="22"/>
          <w:highlight w:val="none"/>
          <w:lang w:val="en-US" w:eastAsia="zh-CN" w:bidi="ar-SA"/>
        </w:rPr>
        <w:t xml:space="preserve">. Alternatively we can adopt the same ENDC approach for simplification, i.e.  reports </w:t>
      </w:r>
      <w:r>
        <w:rPr>
          <w:rFonts w:hint="eastAsia" w:ascii="Times New Roman" w:hAnsi="Times New Roman" w:cs="Times New Roman"/>
          <w:color w:val="auto"/>
          <w:kern w:val="0"/>
          <w:sz w:val="20"/>
          <w:szCs w:val="22"/>
          <w:highlight w:val="none"/>
          <w:lang w:val="en-US" w:eastAsia="zh-CN" w:bidi="ar-SA"/>
        </w:rPr>
        <w:t>m</w:t>
      </w:r>
      <w:r>
        <w:rPr>
          <w:rFonts w:hint="default" w:ascii="Times New Roman" w:hAnsi="Times New Roman" w:eastAsia="宋体" w:cs="Times New Roman"/>
          <w:color w:val="auto"/>
          <w:kern w:val="0"/>
          <w:sz w:val="20"/>
          <w:szCs w:val="22"/>
          <w:highlight w:val="none"/>
          <w:lang w:val="en-US" w:eastAsia="zh-CN" w:bidi="ar-SA"/>
        </w:rPr>
        <w:t>aximum uplink duty cycle</w:t>
      </w:r>
      <w:r>
        <w:rPr>
          <w:rFonts w:hint="eastAsia" w:eastAsia="宋体" w:cs="Times New Roman"/>
          <w:color w:val="auto"/>
          <w:kern w:val="0"/>
          <w:sz w:val="20"/>
          <w:szCs w:val="22"/>
          <w:highlight w:val="none"/>
          <w:lang w:val="en-US" w:eastAsia="zh-CN" w:bidi="ar-SA"/>
        </w:rPr>
        <w:t xml:space="preserve"> (to indicate </w:t>
      </w:r>
      <w:r>
        <w:rPr>
          <w:rFonts w:hint="eastAsia" w:cs="Times New Roman"/>
          <w:color w:val="auto"/>
          <w:kern w:val="0"/>
          <w:sz w:val="20"/>
          <w:szCs w:val="22"/>
          <w:highlight w:val="none"/>
          <w:lang w:val="en-US" w:eastAsia="zh-CN" w:bidi="ar-SA"/>
        </w:rPr>
        <w:t>NR TDD</w:t>
      </w:r>
      <w:r>
        <w:rPr>
          <w:rFonts w:hint="eastAsia" w:eastAsia="宋体" w:cs="Times New Roman"/>
          <w:color w:val="auto"/>
          <w:kern w:val="0"/>
          <w:sz w:val="20"/>
          <w:szCs w:val="22"/>
          <w:highlight w:val="none"/>
          <w:lang w:val="en-US" w:eastAsia="zh-CN" w:bidi="ar-SA"/>
        </w:rPr>
        <w:t xml:space="preserve"> </w:t>
      </w:r>
      <w:r>
        <w:rPr>
          <w:rFonts w:hint="eastAsia" w:cs="Times New Roman"/>
          <w:color w:val="auto"/>
          <w:kern w:val="0"/>
          <w:sz w:val="20"/>
          <w:szCs w:val="22"/>
          <w:highlight w:val="none"/>
          <w:lang w:val="en-US" w:eastAsia="zh-CN" w:bidi="ar-SA"/>
        </w:rPr>
        <w:t>UL duty capability</w:t>
      </w:r>
      <w:r>
        <w:rPr>
          <w:rFonts w:hint="eastAsia" w:eastAsia="宋体" w:cs="Times New Roman"/>
          <w:color w:val="auto"/>
          <w:kern w:val="0"/>
          <w:sz w:val="20"/>
          <w:szCs w:val="22"/>
          <w:highlight w:val="none"/>
          <w:lang w:val="en-US" w:eastAsia="zh-CN" w:bidi="ar-SA"/>
        </w:rPr>
        <w:t xml:space="preserve">) based on </w:t>
      </w:r>
      <w:r>
        <w:rPr>
          <w:rFonts w:hint="eastAsia" w:eastAsia="宋体" w:cs="Times New Roman"/>
          <w:sz w:val="20"/>
          <w:szCs w:val="22"/>
          <w:highlight w:val="none"/>
          <w:lang w:val="en-US" w:eastAsia="zh-CN"/>
        </w:rPr>
        <w:t>{40%, 70%} configurations of NR FDD.</w:t>
      </w:r>
    </w:p>
    <w:p>
      <w:pPr>
        <w:keepNext/>
        <w:keepLines w:val="0"/>
        <w:pageBreakBefore w:val="0"/>
        <w:widowControl w:val="0"/>
        <w:numPr>
          <w:ilvl w:val="2"/>
          <w:numId w:val="0"/>
        </w:numPr>
        <w:kinsoku/>
        <w:wordWrap/>
        <w:overflowPunct/>
        <w:topLinePunct w:val="0"/>
        <w:autoSpaceDE/>
        <w:autoSpaceDN/>
        <w:bidi w:val="0"/>
        <w:adjustRightInd/>
        <w:snapToGrid/>
        <w:spacing w:after="120"/>
        <w:ind w:left="220" w:leftChars="100"/>
        <w:textAlignment w:val="auto"/>
        <w:outlineLvl w:val="9"/>
        <w:rPr>
          <w:rFonts w:hint="eastAsia" w:cs="Times New Roman"/>
          <w:color w:val="auto"/>
          <w:kern w:val="0"/>
          <w:sz w:val="20"/>
          <w:szCs w:val="22"/>
          <w:highlight w:val="none"/>
          <w:lang w:val="en-US" w:eastAsia="zh-CN" w:bidi="ar-SA"/>
        </w:rPr>
      </w:pPr>
      <w:r>
        <w:rPr>
          <w:rFonts w:hint="eastAsia" w:cs="Times New Roman"/>
          <w:color w:val="auto"/>
          <w:kern w:val="0"/>
          <w:sz w:val="20"/>
          <w:szCs w:val="22"/>
          <w:highlight w:val="none"/>
          <w:lang w:val="en-US" w:eastAsia="zh-CN" w:bidi="ar-SA"/>
        </w:rPr>
        <w:t xml:space="preserve">- </w:t>
      </w:r>
      <w:r>
        <w:rPr>
          <w:rFonts w:hint="eastAsia" w:eastAsia="宋体" w:cs="Times New Roman"/>
          <w:sz w:val="20"/>
          <w:szCs w:val="22"/>
          <w:highlight w:val="none"/>
          <w:lang w:val="en-US" w:eastAsia="zh-CN"/>
        </w:rPr>
        <w:t>For PC2 TDD-TDD inter NR CA, d</w:t>
      </w:r>
      <w:r>
        <w:rPr>
          <w:rFonts w:hint="eastAsia" w:ascii="Times New Roman" w:hAnsi="Times New Roman" w:cs="Times New Roman"/>
          <w:color w:val="auto"/>
          <w:kern w:val="0"/>
          <w:sz w:val="20"/>
          <w:szCs w:val="22"/>
          <w:highlight w:val="none"/>
          <w:lang w:val="en-US" w:eastAsia="zh-CN" w:bidi="ar-SA"/>
        </w:rPr>
        <w:t xml:space="preserve">uty cycle of </w:t>
      </w:r>
      <w:r>
        <w:rPr>
          <w:rFonts w:hint="eastAsia" w:cs="Times New Roman"/>
          <w:color w:val="auto"/>
          <w:kern w:val="0"/>
          <w:sz w:val="20"/>
          <w:szCs w:val="22"/>
          <w:highlight w:val="none"/>
          <w:lang w:val="en-US" w:eastAsia="zh-CN" w:bidi="ar-SA"/>
        </w:rPr>
        <w:t xml:space="preserve">NR </w:t>
      </w:r>
      <w:r>
        <w:rPr>
          <w:rFonts w:hint="eastAsia" w:ascii="Times New Roman" w:hAnsi="Times New Roman" w:cs="Times New Roman"/>
          <w:color w:val="auto"/>
          <w:kern w:val="0"/>
          <w:sz w:val="20"/>
          <w:szCs w:val="22"/>
          <w:highlight w:val="none"/>
          <w:lang w:val="en-US" w:eastAsia="zh-CN" w:bidi="ar-SA"/>
        </w:rPr>
        <w:t>PCell</w:t>
      </w:r>
      <w:r>
        <w:rPr>
          <w:rFonts w:hint="eastAsia" w:cs="Times New Roman"/>
          <w:color w:val="auto"/>
          <w:kern w:val="0"/>
          <w:sz w:val="20"/>
          <w:szCs w:val="22"/>
          <w:highlight w:val="none"/>
          <w:lang w:val="en-US" w:eastAsia="zh-CN" w:bidi="ar-SA"/>
        </w:rPr>
        <w:t xml:space="preserve"> band is FFS, and NR S</w:t>
      </w:r>
      <w:r>
        <w:rPr>
          <w:rFonts w:hint="eastAsia" w:ascii="Times New Roman" w:hAnsi="Times New Roman" w:cs="Times New Roman"/>
          <w:color w:val="auto"/>
          <w:kern w:val="0"/>
          <w:sz w:val="20"/>
          <w:szCs w:val="22"/>
          <w:highlight w:val="none"/>
          <w:lang w:val="en-US" w:eastAsia="zh-CN" w:bidi="ar-SA"/>
        </w:rPr>
        <w:t>Cell</w:t>
      </w:r>
      <w:r>
        <w:rPr>
          <w:rFonts w:hint="eastAsia" w:cs="Times New Roman"/>
          <w:color w:val="auto"/>
          <w:kern w:val="0"/>
          <w:sz w:val="20"/>
          <w:szCs w:val="22"/>
          <w:highlight w:val="none"/>
          <w:lang w:val="en-US" w:eastAsia="zh-CN" w:bidi="ar-SA"/>
        </w:rPr>
        <w:t xml:space="preserve"> band</w:t>
      </w:r>
      <w:r>
        <w:rPr>
          <w:rFonts w:hint="eastAsia" w:ascii="Times New Roman" w:hAnsi="Times New Roman" w:cs="Times New Roman"/>
          <w:color w:val="auto"/>
          <w:kern w:val="0"/>
          <w:sz w:val="20"/>
          <w:szCs w:val="22"/>
          <w:highlight w:val="none"/>
          <w:lang w:val="en-US" w:eastAsia="zh-CN" w:bidi="ar-SA"/>
        </w:rPr>
        <w:t xml:space="preserve"> duty cycle capability</w:t>
      </w:r>
      <w:r>
        <w:rPr>
          <w:rFonts w:hint="eastAsia" w:cs="Times New Roman"/>
          <w:color w:val="auto"/>
          <w:kern w:val="0"/>
          <w:sz w:val="20"/>
          <w:szCs w:val="22"/>
          <w:highlight w:val="none"/>
          <w:lang w:val="en-US" w:eastAsia="zh-CN" w:bidi="ar-SA"/>
        </w:rPr>
        <w:t xml:space="preserve"> can be indicated by the </w:t>
      </w:r>
      <w:r>
        <w:rPr>
          <w:rFonts w:hint="eastAsia" w:ascii="Times New Roman" w:hAnsi="Times New Roman" w:cs="Times New Roman"/>
          <w:color w:val="auto"/>
          <w:kern w:val="0"/>
          <w:sz w:val="20"/>
          <w:szCs w:val="22"/>
          <w:highlight w:val="none"/>
          <w:lang w:val="en-US" w:eastAsia="zh-CN" w:bidi="ar-SA"/>
        </w:rPr>
        <w:t>total duty cycle capability</w:t>
      </w:r>
      <w:r>
        <w:rPr>
          <w:rFonts w:hint="eastAsia" w:cs="Times New Roman"/>
          <w:color w:val="auto"/>
          <w:kern w:val="0"/>
          <w:sz w:val="20"/>
          <w:szCs w:val="22"/>
          <w:highlight w:val="none"/>
          <w:lang w:val="en-US" w:eastAsia="zh-CN" w:bidi="ar-SA"/>
        </w:rPr>
        <w:t xml:space="preserve"> reporting.</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1. For duty cycle based solutions, report both total duty cycle capability and duty cycle of PCell band.</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Cs/>
          <w:sz w:val="20"/>
          <w:lang w:eastAsia="zh-CN"/>
        </w:rPr>
      </w:pPr>
      <w:r>
        <w:rPr>
          <w:rFonts w:hint="eastAsia" w:ascii="Times New Roman" w:hAnsi="Times New Roman" w:cs="Times New Roman"/>
          <w:color w:val="auto"/>
          <w:kern w:val="0"/>
          <w:sz w:val="20"/>
          <w:szCs w:val="22"/>
          <w:highlight w:val="none"/>
          <w:lang w:val="en-US" w:eastAsia="zh-CN" w:bidi="ar-SA"/>
        </w:rPr>
        <w:t xml:space="preserve">We think the approach between above proposal and option 2 are </w:t>
      </w:r>
      <w:r>
        <w:rPr>
          <w:rFonts w:hint="eastAsia" w:cs="Times New Roman"/>
          <w:color w:val="auto"/>
          <w:kern w:val="0"/>
          <w:sz w:val="20"/>
          <w:szCs w:val="22"/>
          <w:highlight w:val="none"/>
          <w:lang w:val="en-US" w:eastAsia="zh-CN" w:bidi="ar-SA"/>
        </w:rPr>
        <w:t xml:space="preserve">a bit </w:t>
      </w:r>
      <w:r>
        <w:rPr>
          <w:rFonts w:hint="eastAsia" w:ascii="Times New Roman" w:hAnsi="Times New Roman" w:cs="Times New Roman"/>
          <w:color w:val="auto"/>
          <w:kern w:val="0"/>
          <w:sz w:val="20"/>
          <w:szCs w:val="22"/>
          <w:highlight w:val="none"/>
          <w:lang w:val="en-US" w:eastAsia="zh-CN" w:bidi="ar-SA"/>
        </w:rPr>
        <w:t xml:space="preserve">similar, i.e PCell band capability is reported and the SCell band is indicated via total duty cycle capability reporting. If </w:t>
      </w:r>
      <w:r>
        <w:rPr>
          <w:rFonts w:hint="eastAsia" w:eastAsia="宋体" w:cs="Times New Roman"/>
          <w:sz w:val="20"/>
          <w:szCs w:val="22"/>
          <w:highlight w:val="none"/>
          <w:lang w:val="en-US" w:eastAsia="zh-CN"/>
        </w:rPr>
        <w:t>only Option 1 and Option 2 are considered, for sake of progress, Option 2 is also acceptable for us.</w:t>
      </w:r>
    </w:p>
    <w:p>
      <w:pPr>
        <w:pStyle w:val="2"/>
        <w:keepNext/>
        <w:keepLines w:val="0"/>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sz w:val="20"/>
          <w:szCs w:val="22"/>
          <w:lang w:val="en-US" w:eastAsia="zh-CN"/>
        </w:rPr>
        <w:t xml:space="preserve">In this paper,  we give some </w:t>
      </w:r>
      <w:r>
        <w:rPr>
          <w:rFonts w:hint="eastAsia" w:eastAsia="宋体" w:cs="Times New Roman"/>
          <w:sz w:val="20"/>
          <w:szCs w:val="22"/>
          <w:lang w:val="en-US" w:eastAsia="zh-CN"/>
        </w:rPr>
        <w:t xml:space="preserve">further </w:t>
      </w:r>
      <w:r>
        <w:rPr>
          <w:rFonts w:hint="eastAsia" w:ascii="Times New Roman" w:hAnsi="Times New Roman" w:eastAsia="宋体" w:cs="Times New Roman"/>
          <w:sz w:val="20"/>
          <w:szCs w:val="22"/>
          <w:lang w:val="en-US" w:eastAsia="zh-CN"/>
        </w:rPr>
        <w:t>discussion</w:t>
      </w:r>
      <w:r>
        <w:rPr>
          <w:rFonts w:hint="eastAsia" w:ascii="Times New Roman" w:hAnsi="Times New Roman" w:eastAsia="宋体" w:cs="Times New Roman"/>
          <w:i w:val="0"/>
          <w:iCs w:val="0"/>
          <w:sz w:val="20"/>
          <w:szCs w:val="22"/>
          <w:lang w:val="en-US" w:eastAsia="zh-CN"/>
        </w:rPr>
        <w:t xml:space="preserve"> on the applicable 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inter-band FDD-TDD and TDD-TDD CA. In light of the outcomes of the corresponding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ENDC, the conclusions are summarized as follow:</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1. For duty cycle based solutions, report both total duty cycle capability and duty cycle of PCell.</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Cs/>
          <w:sz w:val="20"/>
          <w:lang w:eastAsia="zh-CN"/>
        </w:rPr>
      </w:pPr>
      <w:r>
        <w:rPr>
          <w:rFonts w:hint="eastAsia" w:ascii="Times New Roman" w:hAnsi="Times New Roman" w:cs="Times New Roman"/>
          <w:color w:val="auto"/>
          <w:kern w:val="0"/>
          <w:sz w:val="20"/>
          <w:szCs w:val="22"/>
          <w:highlight w:val="none"/>
          <w:lang w:val="en-US" w:eastAsia="zh-CN" w:bidi="ar-SA"/>
        </w:rPr>
        <w:t xml:space="preserve">If </w:t>
      </w:r>
      <w:r>
        <w:rPr>
          <w:rFonts w:hint="eastAsia" w:eastAsia="宋体" w:cs="Times New Roman"/>
          <w:sz w:val="20"/>
          <w:szCs w:val="22"/>
          <w:highlight w:val="none"/>
          <w:lang w:val="en-US" w:eastAsia="zh-CN"/>
        </w:rPr>
        <w:t>only Option 1 and Option 2 in the WF are considered, for sake of progress, Option 2 is also acceptable for us.</w:t>
      </w:r>
    </w:p>
    <w:p>
      <w:pPr>
        <w:pStyle w:val="2"/>
        <w:keepNext/>
        <w:keepLines w:val="0"/>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2"/>
    <w:p>
      <w:pPr>
        <w:keepNext/>
        <w:keepLines w:val="0"/>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[1] R4-2016851 WF on SAR solutions for PC2 NR inter-band CA and SUL configurations, China Telecom</w:t>
      </w:r>
    </w:p>
    <w:p>
      <w:pPr>
        <w:keepNext/>
        <w:keepLines w:val="0"/>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[2] R4-2010634 Discussion on PC2 inter-band NR CA, ZTE Corporation</w:t>
      </w:r>
    </w:p>
    <w:p>
      <w:pPr>
        <w:keepNext/>
        <w:keepLines w:val="0"/>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[3] R4-2015040 Discussion on SAR solution for NR PC2 inter-band CA , ZTE Corporation</w:t>
      </w:r>
    </w:p>
    <w:p>
      <w:pPr>
        <w:keepNext/>
        <w:keepLines w:val="0"/>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cs="Arial"/>
          <w:b w:val="0"/>
          <w:bCs/>
          <w:sz w:val="22"/>
          <w:szCs w:val="22"/>
          <w:lang w:val="en-US" w:eastAsia="zh-CN"/>
        </w:rPr>
      </w:pPr>
    </w:p>
    <w:p>
      <w:pPr>
        <w:keepNext/>
        <w:keepLines w:val="0"/>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cs="Arial"/>
          <w:b w:val="0"/>
          <w:bCs/>
          <w:sz w:val="22"/>
          <w:szCs w:val="22"/>
          <w:lang w:val="en-US" w:eastAsia="zh-CN"/>
        </w:rPr>
      </w:pPr>
    </w:p>
    <w:p>
      <w:pPr>
        <w:keepNext/>
        <w:keepLines w:val="0"/>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rPr>
      </w:pPr>
    </w:p>
    <w:p>
      <w:pPr>
        <w:keepNext/>
        <w:keepLines w:val="0"/>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rPr>
      </w:pP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6A"/>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584D"/>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744A3"/>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C03267"/>
    <w:rsid w:val="01C230B8"/>
    <w:rsid w:val="01C605AA"/>
    <w:rsid w:val="01C77E59"/>
    <w:rsid w:val="01CC7635"/>
    <w:rsid w:val="01D63E85"/>
    <w:rsid w:val="01DC352B"/>
    <w:rsid w:val="01E035BD"/>
    <w:rsid w:val="01E06988"/>
    <w:rsid w:val="01ED283C"/>
    <w:rsid w:val="01F61B27"/>
    <w:rsid w:val="01FB375F"/>
    <w:rsid w:val="01FB73D0"/>
    <w:rsid w:val="01FC180E"/>
    <w:rsid w:val="02093AA7"/>
    <w:rsid w:val="02096EC3"/>
    <w:rsid w:val="020E4504"/>
    <w:rsid w:val="020F6166"/>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50052"/>
    <w:rsid w:val="027837DE"/>
    <w:rsid w:val="027C24F6"/>
    <w:rsid w:val="028909D6"/>
    <w:rsid w:val="029679BC"/>
    <w:rsid w:val="02A175C2"/>
    <w:rsid w:val="02A27389"/>
    <w:rsid w:val="02A7092C"/>
    <w:rsid w:val="02A76EA9"/>
    <w:rsid w:val="02A86E51"/>
    <w:rsid w:val="02AB2C40"/>
    <w:rsid w:val="02AE4D11"/>
    <w:rsid w:val="02B10E6C"/>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A0E0B"/>
    <w:rsid w:val="03AE03ED"/>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33CD9"/>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C3FC7"/>
    <w:rsid w:val="051C6040"/>
    <w:rsid w:val="052A53FB"/>
    <w:rsid w:val="05372C11"/>
    <w:rsid w:val="0538658A"/>
    <w:rsid w:val="053C7BE5"/>
    <w:rsid w:val="054A11F0"/>
    <w:rsid w:val="054D1171"/>
    <w:rsid w:val="05511F04"/>
    <w:rsid w:val="05570220"/>
    <w:rsid w:val="055E1C97"/>
    <w:rsid w:val="056335D9"/>
    <w:rsid w:val="056460C8"/>
    <w:rsid w:val="05682B24"/>
    <w:rsid w:val="056A0D12"/>
    <w:rsid w:val="05722307"/>
    <w:rsid w:val="057D13E0"/>
    <w:rsid w:val="057D208E"/>
    <w:rsid w:val="057E2E99"/>
    <w:rsid w:val="058162F2"/>
    <w:rsid w:val="058745B2"/>
    <w:rsid w:val="058B1C46"/>
    <w:rsid w:val="058C5F4A"/>
    <w:rsid w:val="058D33C5"/>
    <w:rsid w:val="058E4F3F"/>
    <w:rsid w:val="059E20A2"/>
    <w:rsid w:val="05A025D0"/>
    <w:rsid w:val="05A61B3E"/>
    <w:rsid w:val="05A77370"/>
    <w:rsid w:val="05CE76FB"/>
    <w:rsid w:val="05CF3E3B"/>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06B9D"/>
    <w:rsid w:val="06AB1DFD"/>
    <w:rsid w:val="06AB26A7"/>
    <w:rsid w:val="06B74133"/>
    <w:rsid w:val="06C31A1F"/>
    <w:rsid w:val="06C453F9"/>
    <w:rsid w:val="06C62533"/>
    <w:rsid w:val="06C82DD0"/>
    <w:rsid w:val="06CB06AF"/>
    <w:rsid w:val="06CF1323"/>
    <w:rsid w:val="06DA77D3"/>
    <w:rsid w:val="06DC48E2"/>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560AAB"/>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C54E0"/>
    <w:rsid w:val="086015DD"/>
    <w:rsid w:val="08670351"/>
    <w:rsid w:val="086D1825"/>
    <w:rsid w:val="08713A8E"/>
    <w:rsid w:val="08736AF5"/>
    <w:rsid w:val="08760D65"/>
    <w:rsid w:val="087D07B1"/>
    <w:rsid w:val="088B2800"/>
    <w:rsid w:val="088D3DB3"/>
    <w:rsid w:val="089248A3"/>
    <w:rsid w:val="08A14169"/>
    <w:rsid w:val="08A169E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401F0"/>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866C0"/>
    <w:rsid w:val="0ADC5D23"/>
    <w:rsid w:val="0AE23DA6"/>
    <w:rsid w:val="0AEA7232"/>
    <w:rsid w:val="0AF44695"/>
    <w:rsid w:val="0AFF04EF"/>
    <w:rsid w:val="0AFF28BB"/>
    <w:rsid w:val="0B070072"/>
    <w:rsid w:val="0B080C34"/>
    <w:rsid w:val="0B096705"/>
    <w:rsid w:val="0B110BE9"/>
    <w:rsid w:val="0B1C4BBB"/>
    <w:rsid w:val="0B1F01C1"/>
    <w:rsid w:val="0B2110B3"/>
    <w:rsid w:val="0B232D20"/>
    <w:rsid w:val="0B300128"/>
    <w:rsid w:val="0B3171CB"/>
    <w:rsid w:val="0B3276E8"/>
    <w:rsid w:val="0B354623"/>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DE3DF6"/>
    <w:rsid w:val="0BE1620F"/>
    <w:rsid w:val="0BE376C6"/>
    <w:rsid w:val="0BE7693E"/>
    <w:rsid w:val="0BEB39E4"/>
    <w:rsid w:val="0BF00B65"/>
    <w:rsid w:val="0BF33C47"/>
    <w:rsid w:val="0C0E4E46"/>
    <w:rsid w:val="0C131F97"/>
    <w:rsid w:val="0C1A2934"/>
    <w:rsid w:val="0C20567B"/>
    <w:rsid w:val="0C392883"/>
    <w:rsid w:val="0C405D6F"/>
    <w:rsid w:val="0C43314A"/>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A50B4"/>
    <w:rsid w:val="0D514530"/>
    <w:rsid w:val="0D521205"/>
    <w:rsid w:val="0D5960E0"/>
    <w:rsid w:val="0D5F33A1"/>
    <w:rsid w:val="0D673165"/>
    <w:rsid w:val="0D701250"/>
    <w:rsid w:val="0D7344C8"/>
    <w:rsid w:val="0D747D20"/>
    <w:rsid w:val="0D763116"/>
    <w:rsid w:val="0D830CBD"/>
    <w:rsid w:val="0D8B1980"/>
    <w:rsid w:val="0D8B481D"/>
    <w:rsid w:val="0D9C6CA1"/>
    <w:rsid w:val="0D9D493D"/>
    <w:rsid w:val="0DA25C8E"/>
    <w:rsid w:val="0DAC5546"/>
    <w:rsid w:val="0DAD1AC0"/>
    <w:rsid w:val="0DAF3CAF"/>
    <w:rsid w:val="0DBA2854"/>
    <w:rsid w:val="0DBB4D38"/>
    <w:rsid w:val="0DC92BE8"/>
    <w:rsid w:val="0DCB27E2"/>
    <w:rsid w:val="0DCE2610"/>
    <w:rsid w:val="0DD00B2F"/>
    <w:rsid w:val="0DE24973"/>
    <w:rsid w:val="0DE4532D"/>
    <w:rsid w:val="0DE95AE2"/>
    <w:rsid w:val="0DED4B8F"/>
    <w:rsid w:val="0DF04645"/>
    <w:rsid w:val="0DF15BF6"/>
    <w:rsid w:val="0DF27318"/>
    <w:rsid w:val="0DF30D49"/>
    <w:rsid w:val="0DF45D73"/>
    <w:rsid w:val="0DF54078"/>
    <w:rsid w:val="0E041D2C"/>
    <w:rsid w:val="0E084950"/>
    <w:rsid w:val="0E121DB2"/>
    <w:rsid w:val="0E126018"/>
    <w:rsid w:val="0E1271E2"/>
    <w:rsid w:val="0E1B6AEF"/>
    <w:rsid w:val="0E1B7FF1"/>
    <w:rsid w:val="0E1C0D60"/>
    <w:rsid w:val="0E1C6C9C"/>
    <w:rsid w:val="0E1D4EB3"/>
    <w:rsid w:val="0E1E0AD2"/>
    <w:rsid w:val="0E1E23FC"/>
    <w:rsid w:val="0E207223"/>
    <w:rsid w:val="0E244A7F"/>
    <w:rsid w:val="0E273EB4"/>
    <w:rsid w:val="0E296F97"/>
    <w:rsid w:val="0E2E2266"/>
    <w:rsid w:val="0E331BB8"/>
    <w:rsid w:val="0E3448A4"/>
    <w:rsid w:val="0E373E96"/>
    <w:rsid w:val="0E386486"/>
    <w:rsid w:val="0E3B4B17"/>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33686"/>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9D111C"/>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D44B4"/>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7723B"/>
    <w:rsid w:val="11977D55"/>
    <w:rsid w:val="119F2B47"/>
    <w:rsid w:val="11A659D9"/>
    <w:rsid w:val="11A67383"/>
    <w:rsid w:val="11A9518F"/>
    <w:rsid w:val="11B05A60"/>
    <w:rsid w:val="11BC664B"/>
    <w:rsid w:val="11BF56EF"/>
    <w:rsid w:val="11C1751E"/>
    <w:rsid w:val="11C846B5"/>
    <w:rsid w:val="11C909CA"/>
    <w:rsid w:val="11C936A2"/>
    <w:rsid w:val="11D93CCB"/>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96E73"/>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45DA5"/>
    <w:rsid w:val="13481951"/>
    <w:rsid w:val="1348475C"/>
    <w:rsid w:val="134D10DE"/>
    <w:rsid w:val="13591017"/>
    <w:rsid w:val="135A14B5"/>
    <w:rsid w:val="135A5212"/>
    <w:rsid w:val="135C392E"/>
    <w:rsid w:val="135D5A77"/>
    <w:rsid w:val="135F52DB"/>
    <w:rsid w:val="13614997"/>
    <w:rsid w:val="136A13B4"/>
    <w:rsid w:val="13735FFB"/>
    <w:rsid w:val="13757BE9"/>
    <w:rsid w:val="137D1899"/>
    <w:rsid w:val="137D5093"/>
    <w:rsid w:val="137E369E"/>
    <w:rsid w:val="137E41AF"/>
    <w:rsid w:val="138164BF"/>
    <w:rsid w:val="13873F07"/>
    <w:rsid w:val="138C236B"/>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3515A"/>
    <w:rsid w:val="13F41217"/>
    <w:rsid w:val="13F66932"/>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A73AE"/>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F04C6"/>
    <w:rsid w:val="1497510D"/>
    <w:rsid w:val="149D4997"/>
    <w:rsid w:val="14A04F69"/>
    <w:rsid w:val="14A10588"/>
    <w:rsid w:val="14A11363"/>
    <w:rsid w:val="14A56052"/>
    <w:rsid w:val="14A87888"/>
    <w:rsid w:val="14AA6172"/>
    <w:rsid w:val="14AC283B"/>
    <w:rsid w:val="14B071EA"/>
    <w:rsid w:val="14BD5CC4"/>
    <w:rsid w:val="14C42409"/>
    <w:rsid w:val="14C510C3"/>
    <w:rsid w:val="14CC3E85"/>
    <w:rsid w:val="14DA2BB5"/>
    <w:rsid w:val="14E1264D"/>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668BE"/>
    <w:rsid w:val="159C7418"/>
    <w:rsid w:val="15A50240"/>
    <w:rsid w:val="15A730AB"/>
    <w:rsid w:val="15A82899"/>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70A35"/>
    <w:rsid w:val="160848A2"/>
    <w:rsid w:val="16105B54"/>
    <w:rsid w:val="161204DB"/>
    <w:rsid w:val="1614006C"/>
    <w:rsid w:val="16140FF8"/>
    <w:rsid w:val="162022AB"/>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76A9B"/>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4297D"/>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5027A"/>
    <w:rsid w:val="186A585C"/>
    <w:rsid w:val="186C0342"/>
    <w:rsid w:val="186E121C"/>
    <w:rsid w:val="187D0B92"/>
    <w:rsid w:val="18893D17"/>
    <w:rsid w:val="188D7FF5"/>
    <w:rsid w:val="18966DD6"/>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81760"/>
    <w:rsid w:val="18FB7C71"/>
    <w:rsid w:val="1901692F"/>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7084E"/>
    <w:rsid w:val="19E92B6A"/>
    <w:rsid w:val="19EC12FB"/>
    <w:rsid w:val="19EC30C6"/>
    <w:rsid w:val="19ED41CF"/>
    <w:rsid w:val="19F51FDF"/>
    <w:rsid w:val="1A0342E9"/>
    <w:rsid w:val="1A05603E"/>
    <w:rsid w:val="1A05712E"/>
    <w:rsid w:val="1A081E7F"/>
    <w:rsid w:val="1A0D0FEB"/>
    <w:rsid w:val="1A1E60F6"/>
    <w:rsid w:val="1A23285C"/>
    <w:rsid w:val="1A267DE8"/>
    <w:rsid w:val="1A2A4C26"/>
    <w:rsid w:val="1A2B2E21"/>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977E2"/>
    <w:rsid w:val="1BDC1FDD"/>
    <w:rsid w:val="1BE00A01"/>
    <w:rsid w:val="1BEC6EEC"/>
    <w:rsid w:val="1BED382A"/>
    <w:rsid w:val="1BED7882"/>
    <w:rsid w:val="1BEF6A59"/>
    <w:rsid w:val="1BF01922"/>
    <w:rsid w:val="1C026BE2"/>
    <w:rsid w:val="1C027BFF"/>
    <w:rsid w:val="1C095057"/>
    <w:rsid w:val="1C0A570F"/>
    <w:rsid w:val="1C101CAA"/>
    <w:rsid w:val="1C10625F"/>
    <w:rsid w:val="1C145A58"/>
    <w:rsid w:val="1C152097"/>
    <w:rsid w:val="1C1B1718"/>
    <w:rsid w:val="1C1E632B"/>
    <w:rsid w:val="1C230D0E"/>
    <w:rsid w:val="1C243FC3"/>
    <w:rsid w:val="1C2A40BF"/>
    <w:rsid w:val="1C2E4B85"/>
    <w:rsid w:val="1C3B0B57"/>
    <w:rsid w:val="1C3B190C"/>
    <w:rsid w:val="1C3F2800"/>
    <w:rsid w:val="1C4412A9"/>
    <w:rsid w:val="1C4A0EAE"/>
    <w:rsid w:val="1C4C6669"/>
    <w:rsid w:val="1C5039DB"/>
    <w:rsid w:val="1C505A77"/>
    <w:rsid w:val="1C586C59"/>
    <w:rsid w:val="1C69538F"/>
    <w:rsid w:val="1C704DD8"/>
    <w:rsid w:val="1C784DDC"/>
    <w:rsid w:val="1C8B6F58"/>
    <w:rsid w:val="1C8E320F"/>
    <w:rsid w:val="1C92272E"/>
    <w:rsid w:val="1C943CF8"/>
    <w:rsid w:val="1C9B225B"/>
    <w:rsid w:val="1C9F295C"/>
    <w:rsid w:val="1CA314EC"/>
    <w:rsid w:val="1CA3670A"/>
    <w:rsid w:val="1CA37E66"/>
    <w:rsid w:val="1CA56D52"/>
    <w:rsid w:val="1CA56DA8"/>
    <w:rsid w:val="1CA76806"/>
    <w:rsid w:val="1CAA1342"/>
    <w:rsid w:val="1CAB41A6"/>
    <w:rsid w:val="1CAF6C6F"/>
    <w:rsid w:val="1CB442D2"/>
    <w:rsid w:val="1CBF61DA"/>
    <w:rsid w:val="1CC628BB"/>
    <w:rsid w:val="1CC728DD"/>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B0EB0"/>
    <w:rsid w:val="1D5B3C6A"/>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F3B14"/>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37A64"/>
    <w:rsid w:val="1F291073"/>
    <w:rsid w:val="1F364BA6"/>
    <w:rsid w:val="1F384946"/>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D7333"/>
    <w:rsid w:val="20125BCF"/>
    <w:rsid w:val="20173670"/>
    <w:rsid w:val="201B7586"/>
    <w:rsid w:val="201C3CA2"/>
    <w:rsid w:val="201D36E6"/>
    <w:rsid w:val="201F1A41"/>
    <w:rsid w:val="20246D32"/>
    <w:rsid w:val="20287CCA"/>
    <w:rsid w:val="202F7842"/>
    <w:rsid w:val="20360A34"/>
    <w:rsid w:val="203B0890"/>
    <w:rsid w:val="2044015A"/>
    <w:rsid w:val="20460F3D"/>
    <w:rsid w:val="20465E04"/>
    <w:rsid w:val="204A2F6A"/>
    <w:rsid w:val="204C2882"/>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10181"/>
    <w:rsid w:val="210B6618"/>
    <w:rsid w:val="2112462E"/>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D104C"/>
    <w:rsid w:val="21630F95"/>
    <w:rsid w:val="216707D5"/>
    <w:rsid w:val="21700B44"/>
    <w:rsid w:val="217105A1"/>
    <w:rsid w:val="217C4BD1"/>
    <w:rsid w:val="21836424"/>
    <w:rsid w:val="2188225D"/>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E469C"/>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4250F"/>
    <w:rsid w:val="247C4FC2"/>
    <w:rsid w:val="247C7D24"/>
    <w:rsid w:val="247E363A"/>
    <w:rsid w:val="247E632F"/>
    <w:rsid w:val="247E6E67"/>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9F793D"/>
    <w:rsid w:val="25A55AC8"/>
    <w:rsid w:val="25A66D58"/>
    <w:rsid w:val="25AC5370"/>
    <w:rsid w:val="25AC7500"/>
    <w:rsid w:val="25B12E79"/>
    <w:rsid w:val="25B64199"/>
    <w:rsid w:val="25B82EA5"/>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97C10"/>
    <w:rsid w:val="26CA2B3C"/>
    <w:rsid w:val="26D33170"/>
    <w:rsid w:val="26D85880"/>
    <w:rsid w:val="26DB0B1B"/>
    <w:rsid w:val="26DC2E6E"/>
    <w:rsid w:val="26DF7939"/>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07418"/>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C5EA0"/>
    <w:rsid w:val="27FE2E12"/>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A51B02"/>
    <w:rsid w:val="28B4017A"/>
    <w:rsid w:val="28B51E6D"/>
    <w:rsid w:val="28BD05DE"/>
    <w:rsid w:val="28C15B72"/>
    <w:rsid w:val="28C52BB3"/>
    <w:rsid w:val="28CB554B"/>
    <w:rsid w:val="28CD52EA"/>
    <w:rsid w:val="28CF2CA7"/>
    <w:rsid w:val="28D62CC7"/>
    <w:rsid w:val="28D70028"/>
    <w:rsid w:val="28DB17E6"/>
    <w:rsid w:val="28DD3BE4"/>
    <w:rsid w:val="28DE6245"/>
    <w:rsid w:val="28E347CC"/>
    <w:rsid w:val="28EA0885"/>
    <w:rsid w:val="28F60D2F"/>
    <w:rsid w:val="28FF39FD"/>
    <w:rsid w:val="2905249B"/>
    <w:rsid w:val="29064E8D"/>
    <w:rsid w:val="290C3541"/>
    <w:rsid w:val="290E7A11"/>
    <w:rsid w:val="290F19FA"/>
    <w:rsid w:val="290F750B"/>
    <w:rsid w:val="29152A36"/>
    <w:rsid w:val="291B447E"/>
    <w:rsid w:val="29244DC0"/>
    <w:rsid w:val="2924662A"/>
    <w:rsid w:val="29274AB5"/>
    <w:rsid w:val="2928645C"/>
    <w:rsid w:val="29291E56"/>
    <w:rsid w:val="292C29EC"/>
    <w:rsid w:val="29304A2C"/>
    <w:rsid w:val="29487161"/>
    <w:rsid w:val="294966A8"/>
    <w:rsid w:val="294C7571"/>
    <w:rsid w:val="294E1304"/>
    <w:rsid w:val="294E505B"/>
    <w:rsid w:val="29522EF8"/>
    <w:rsid w:val="29532B1A"/>
    <w:rsid w:val="29566743"/>
    <w:rsid w:val="295709E8"/>
    <w:rsid w:val="2958159E"/>
    <w:rsid w:val="295B15DD"/>
    <w:rsid w:val="29673530"/>
    <w:rsid w:val="296F7076"/>
    <w:rsid w:val="29715025"/>
    <w:rsid w:val="298561B6"/>
    <w:rsid w:val="298C1A5A"/>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6BF5"/>
    <w:rsid w:val="2AEF1DBC"/>
    <w:rsid w:val="2AF940AB"/>
    <w:rsid w:val="2AFF2EB0"/>
    <w:rsid w:val="2AFF6246"/>
    <w:rsid w:val="2B061E16"/>
    <w:rsid w:val="2B0651DB"/>
    <w:rsid w:val="2B081CE2"/>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3412C"/>
    <w:rsid w:val="2BC47F83"/>
    <w:rsid w:val="2BCD2333"/>
    <w:rsid w:val="2BCF6C34"/>
    <w:rsid w:val="2BD07A7B"/>
    <w:rsid w:val="2BD157A2"/>
    <w:rsid w:val="2BD56B76"/>
    <w:rsid w:val="2BD56CE3"/>
    <w:rsid w:val="2BE03D81"/>
    <w:rsid w:val="2BE314B3"/>
    <w:rsid w:val="2BEC1B8B"/>
    <w:rsid w:val="2BEF1596"/>
    <w:rsid w:val="2BEF60D0"/>
    <w:rsid w:val="2BF43CAA"/>
    <w:rsid w:val="2BF63DB0"/>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F32E3"/>
    <w:rsid w:val="2C6F62D3"/>
    <w:rsid w:val="2C722827"/>
    <w:rsid w:val="2C73174E"/>
    <w:rsid w:val="2C7334B8"/>
    <w:rsid w:val="2C744FCD"/>
    <w:rsid w:val="2C7656AE"/>
    <w:rsid w:val="2C7A41E9"/>
    <w:rsid w:val="2C7E405A"/>
    <w:rsid w:val="2C8973E5"/>
    <w:rsid w:val="2C8A6F0B"/>
    <w:rsid w:val="2C8D3EE0"/>
    <w:rsid w:val="2C932127"/>
    <w:rsid w:val="2C9554A2"/>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20AFD"/>
    <w:rsid w:val="2CE914BE"/>
    <w:rsid w:val="2CEA0BBE"/>
    <w:rsid w:val="2CEB77E6"/>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0A5D42"/>
    <w:rsid w:val="2E1931E7"/>
    <w:rsid w:val="2E28171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C4449"/>
    <w:rsid w:val="2EB177AD"/>
    <w:rsid w:val="2EBA7E66"/>
    <w:rsid w:val="2EBF694E"/>
    <w:rsid w:val="2EC90753"/>
    <w:rsid w:val="2EC9758F"/>
    <w:rsid w:val="2ED30992"/>
    <w:rsid w:val="2ED671F3"/>
    <w:rsid w:val="2EDC56CA"/>
    <w:rsid w:val="2EE03EAF"/>
    <w:rsid w:val="2EE43EA0"/>
    <w:rsid w:val="2EEF19BC"/>
    <w:rsid w:val="2EF37BF0"/>
    <w:rsid w:val="2EFF46B2"/>
    <w:rsid w:val="2F0157E4"/>
    <w:rsid w:val="2F031F8F"/>
    <w:rsid w:val="2F0B15D4"/>
    <w:rsid w:val="2F0D0070"/>
    <w:rsid w:val="2F0D68BA"/>
    <w:rsid w:val="2F0E2111"/>
    <w:rsid w:val="2F0E59F5"/>
    <w:rsid w:val="2F1A4DA6"/>
    <w:rsid w:val="2F234D05"/>
    <w:rsid w:val="2F2A789C"/>
    <w:rsid w:val="2F3249B1"/>
    <w:rsid w:val="2F3A42F6"/>
    <w:rsid w:val="2F464A98"/>
    <w:rsid w:val="2F48614F"/>
    <w:rsid w:val="2F487FE6"/>
    <w:rsid w:val="2F5173DD"/>
    <w:rsid w:val="2F530D2A"/>
    <w:rsid w:val="2F5B7BF2"/>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065C"/>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01EEF"/>
    <w:rsid w:val="302719FF"/>
    <w:rsid w:val="302722EF"/>
    <w:rsid w:val="30293768"/>
    <w:rsid w:val="30341BB0"/>
    <w:rsid w:val="303620E5"/>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4A732D"/>
    <w:rsid w:val="315B288C"/>
    <w:rsid w:val="315F34F5"/>
    <w:rsid w:val="31625BD9"/>
    <w:rsid w:val="3165203B"/>
    <w:rsid w:val="31731696"/>
    <w:rsid w:val="317675CF"/>
    <w:rsid w:val="31802145"/>
    <w:rsid w:val="31846B58"/>
    <w:rsid w:val="318648B5"/>
    <w:rsid w:val="31864A48"/>
    <w:rsid w:val="318B5416"/>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3F561E"/>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11F5D"/>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3AA9"/>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7216"/>
    <w:rsid w:val="3378211E"/>
    <w:rsid w:val="337D1A35"/>
    <w:rsid w:val="33804C38"/>
    <w:rsid w:val="33886CEE"/>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36595"/>
    <w:rsid w:val="342848DD"/>
    <w:rsid w:val="342B013D"/>
    <w:rsid w:val="342C7CD4"/>
    <w:rsid w:val="34365D0F"/>
    <w:rsid w:val="343E3F00"/>
    <w:rsid w:val="34421727"/>
    <w:rsid w:val="34455BD8"/>
    <w:rsid w:val="344E45AD"/>
    <w:rsid w:val="34537A00"/>
    <w:rsid w:val="345718EB"/>
    <w:rsid w:val="34584277"/>
    <w:rsid w:val="345A74D7"/>
    <w:rsid w:val="34623C2F"/>
    <w:rsid w:val="346605B2"/>
    <w:rsid w:val="346E280F"/>
    <w:rsid w:val="346E701E"/>
    <w:rsid w:val="3473163B"/>
    <w:rsid w:val="3475716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1F48A5"/>
    <w:rsid w:val="352A3AE7"/>
    <w:rsid w:val="352A6E5A"/>
    <w:rsid w:val="353314EE"/>
    <w:rsid w:val="35352995"/>
    <w:rsid w:val="353778DA"/>
    <w:rsid w:val="35416709"/>
    <w:rsid w:val="3542277B"/>
    <w:rsid w:val="354271B8"/>
    <w:rsid w:val="35515024"/>
    <w:rsid w:val="35523D07"/>
    <w:rsid w:val="3555395C"/>
    <w:rsid w:val="355C7676"/>
    <w:rsid w:val="35610626"/>
    <w:rsid w:val="35637F84"/>
    <w:rsid w:val="356765EC"/>
    <w:rsid w:val="3576224E"/>
    <w:rsid w:val="35791A73"/>
    <w:rsid w:val="357B16BE"/>
    <w:rsid w:val="357C5321"/>
    <w:rsid w:val="357D1145"/>
    <w:rsid w:val="358111E8"/>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65A98"/>
    <w:rsid w:val="361D4745"/>
    <w:rsid w:val="361E4A68"/>
    <w:rsid w:val="361E4BCF"/>
    <w:rsid w:val="361F359F"/>
    <w:rsid w:val="362029EC"/>
    <w:rsid w:val="36277F15"/>
    <w:rsid w:val="362C44AF"/>
    <w:rsid w:val="364074D3"/>
    <w:rsid w:val="36433B1B"/>
    <w:rsid w:val="36474B7A"/>
    <w:rsid w:val="364D533A"/>
    <w:rsid w:val="364E74AA"/>
    <w:rsid w:val="364F2ABA"/>
    <w:rsid w:val="364F7FB6"/>
    <w:rsid w:val="365426B9"/>
    <w:rsid w:val="36547E5A"/>
    <w:rsid w:val="36552A5E"/>
    <w:rsid w:val="365B748F"/>
    <w:rsid w:val="365D18E5"/>
    <w:rsid w:val="3661561B"/>
    <w:rsid w:val="36631581"/>
    <w:rsid w:val="36715F50"/>
    <w:rsid w:val="36767FA0"/>
    <w:rsid w:val="367949C1"/>
    <w:rsid w:val="367C0A30"/>
    <w:rsid w:val="367C1CB9"/>
    <w:rsid w:val="367D1308"/>
    <w:rsid w:val="367E6C51"/>
    <w:rsid w:val="368010F6"/>
    <w:rsid w:val="3689641E"/>
    <w:rsid w:val="368E7CA9"/>
    <w:rsid w:val="369464A6"/>
    <w:rsid w:val="36985ABF"/>
    <w:rsid w:val="36991D1F"/>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97D6C"/>
    <w:rsid w:val="3750226C"/>
    <w:rsid w:val="37502818"/>
    <w:rsid w:val="375127CE"/>
    <w:rsid w:val="37513D01"/>
    <w:rsid w:val="37535CB6"/>
    <w:rsid w:val="375C30D2"/>
    <w:rsid w:val="376C5889"/>
    <w:rsid w:val="376D30B7"/>
    <w:rsid w:val="376F3C3D"/>
    <w:rsid w:val="37777509"/>
    <w:rsid w:val="37782D0E"/>
    <w:rsid w:val="377A2230"/>
    <w:rsid w:val="377D5303"/>
    <w:rsid w:val="37825324"/>
    <w:rsid w:val="378B0327"/>
    <w:rsid w:val="378E0749"/>
    <w:rsid w:val="37961346"/>
    <w:rsid w:val="379824C0"/>
    <w:rsid w:val="379B4AF2"/>
    <w:rsid w:val="379C1DA9"/>
    <w:rsid w:val="379E42CB"/>
    <w:rsid w:val="37A5676A"/>
    <w:rsid w:val="37A6689F"/>
    <w:rsid w:val="37A7162E"/>
    <w:rsid w:val="37A9641A"/>
    <w:rsid w:val="37AC7283"/>
    <w:rsid w:val="37AD2485"/>
    <w:rsid w:val="37B4362A"/>
    <w:rsid w:val="37B8335E"/>
    <w:rsid w:val="37B85875"/>
    <w:rsid w:val="37C144CC"/>
    <w:rsid w:val="37C73B14"/>
    <w:rsid w:val="37C768E5"/>
    <w:rsid w:val="37C830DF"/>
    <w:rsid w:val="37D05D39"/>
    <w:rsid w:val="37D10CB9"/>
    <w:rsid w:val="37D92777"/>
    <w:rsid w:val="37F2418D"/>
    <w:rsid w:val="3803718F"/>
    <w:rsid w:val="38091FFF"/>
    <w:rsid w:val="3809520B"/>
    <w:rsid w:val="380F6701"/>
    <w:rsid w:val="38124A9D"/>
    <w:rsid w:val="38204A20"/>
    <w:rsid w:val="38241F4A"/>
    <w:rsid w:val="382474BE"/>
    <w:rsid w:val="38310D30"/>
    <w:rsid w:val="38465EFC"/>
    <w:rsid w:val="38470572"/>
    <w:rsid w:val="38487E16"/>
    <w:rsid w:val="384C45B5"/>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D93641"/>
    <w:rsid w:val="38E44E18"/>
    <w:rsid w:val="38E70119"/>
    <w:rsid w:val="38EB4F83"/>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87A03"/>
    <w:rsid w:val="398D258D"/>
    <w:rsid w:val="398D4DF9"/>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971E7"/>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6E2922"/>
    <w:rsid w:val="3C705F26"/>
    <w:rsid w:val="3C7D236C"/>
    <w:rsid w:val="3C914E1A"/>
    <w:rsid w:val="3C961419"/>
    <w:rsid w:val="3CA12CEA"/>
    <w:rsid w:val="3CA1514C"/>
    <w:rsid w:val="3CA40A32"/>
    <w:rsid w:val="3CAE61AF"/>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EFE037D"/>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B214E"/>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272DD"/>
    <w:rsid w:val="4097144A"/>
    <w:rsid w:val="40A27041"/>
    <w:rsid w:val="40A84378"/>
    <w:rsid w:val="40AB4BB4"/>
    <w:rsid w:val="40B24A84"/>
    <w:rsid w:val="40BB567D"/>
    <w:rsid w:val="40BF2A94"/>
    <w:rsid w:val="40C103B9"/>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0192E"/>
    <w:rsid w:val="42657B3C"/>
    <w:rsid w:val="426657ED"/>
    <w:rsid w:val="42674397"/>
    <w:rsid w:val="427255DF"/>
    <w:rsid w:val="42745137"/>
    <w:rsid w:val="4275131E"/>
    <w:rsid w:val="427671A6"/>
    <w:rsid w:val="427862CE"/>
    <w:rsid w:val="427A15D7"/>
    <w:rsid w:val="427A1877"/>
    <w:rsid w:val="428E6083"/>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0029F"/>
    <w:rsid w:val="42E360DE"/>
    <w:rsid w:val="42E502F5"/>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90650"/>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3596C"/>
    <w:rsid w:val="450543DD"/>
    <w:rsid w:val="45063626"/>
    <w:rsid w:val="45080159"/>
    <w:rsid w:val="450B5A65"/>
    <w:rsid w:val="450B69FC"/>
    <w:rsid w:val="4511635D"/>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6641A"/>
    <w:rsid w:val="459A5728"/>
    <w:rsid w:val="45A806FF"/>
    <w:rsid w:val="45AE4807"/>
    <w:rsid w:val="45B81980"/>
    <w:rsid w:val="45BB5877"/>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15B02"/>
    <w:rsid w:val="46A47094"/>
    <w:rsid w:val="46AB0B09"/>
    <w:rsid w:val="46AD3657"/>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D46DE"/>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9D1A1D"/>
    <w:rsid w:val="48A46169"/>
    <w:rsid w:val="48A5233A"/>
    <w:rsid w:val="48B32DFD"/>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66AC7"/>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3E14"/>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06541"/>
    <w:rsid w:val="4A0C1EE8"/>
    <w:rsid w:val="4A0D60CC"/>
    <w:rsid w:val="4A0E2231"/>
    <w:rsid w:val="4A151985"/>
    <w:rsid w:val="4A183223"/>
    <w:rsid w:val="4A192C32"/>
    <w:rsid w:val="4A1C0D1E"/>
    <w:rsid w:val="4A1D2BB3"/>
    <w:rsid w:val="4A201730"/>
    <w:rsid w:val="4A2361B1"/>
    <w:rsid w:val="4A246681"/>
    <w:rsid w:val="4A250F67"/>
    <w:rsid w:val="4A2E3165"/>
    <w:rsid w:val="4A33337A"/>
    <w:rsid w:val="4A375652"/>
    <w:rsid w:val="4A492F58"/>
    <w:rsid w:val="4A504178"/>
    <w:rsid w:val="4A5F3240"/>
    <w:rsid w:val="4A604594"/>
    <w:rsid w:val="4A614402"/>
    <w:rsid w:val="4A626F0F"/>
    <w:rsid w:val="4A6615BE"/>
    <w:rsid w:val="4A6827A8"/>
    <w:rsid w:val="4A6A0509"/>
    <w:rsid w:val="4A6B40B3"/>
    <w:rsid w:val="4A72273A"/>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3CF3"/>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DB446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23201"/>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5324A"/>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1C0749"/>
    <w:rsid w:val="4F327290"/>
    <w:rsid w:val="4F3A1522"/>
    <w:rsid w:val="4F3A454E"/>
    <w:rsid w:val="4F41097C"/>
    <w:rsid w:val="4F4137B3"/>
    <w:rsid w:val="4F482860"/>
    <w:rsid w:val="4F487299"/>
    <w:rsid w:val="4F4A1A20"/>
    <w:rsid w:val="4F4E2A7B"/>
    <w:rsid w:val="4F5176B3"/>
    <w:rsid w:val="4F591B85"/>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3768A"/>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9268F"/>
    <w:rsid w:val="4FFE02AC"/>
    <w:rsid w:val="50024D7D"/>
    <w:rsid w:val="500647A0"/>
    <w:rsid w:val="500779F7"/>
    <w:rsid w:val="500F2C52"/>
    <w:rsid w:val="50115029"/>
    <w:rsid w:val="50130207"/>
    <w:rsid w:val="50167B60"/>
    <w:rsid w:val="50186DCC"/>
    <w:rsid w:val="501F3FD6"/>
    <w:rsid w:val="50325A21"/>
    <w:rsid w:val="50337DE4"/>
    <w:rsid w:val="503A4A06"/>
    <w:rsid w:val="504827D0"/>
    <w:rsid w:val="50551A7C"/>
    <w:rsid w:val="50590640"/>
    <w:rsid w:val="505A1971"/>
    <w:rsid w:val="505B00FA"/>
    <w:rsid w:val="506468A8"/>
    <w:rsid w:val="50677501"/>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96BB5"/>
    <w:rsid w:val="51EF47CF"/>
    <w:rsid w:val="51FF7286"/>
    <w:rsid w:val="5207265A"/>
    <w:rsid w:val="521153DD"/>
    <w:rsid w:val="521A6B40"/>
    <w:rsid w:val="521C7DEC"/>
    <w:rsid w:val="52345124"/>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2301C"/>
    <w:rsid w:val="537C5062"/>
    <w:rsid w:val="537D0CE9"/>
    <w:rsid w:val="538051E9"/>
    <w:rsid w:val="53834FC0"/>
    <w:rsid w:val="53961443"/>
    <w:rsid w:val="53A37A08"/>
    <w:rsid w:val="53A756C3"/>
    <w:rsid w:val="53AC7990"/>
    <w:rsid w:val="53B27316"/>
    <w:rsid w:val="53B425A2"/>
    <w:rsid w:val="53B47FF2"/>
    <w:rsid w:val="53B53851"/>
    <w:rsid w:val="53B954D9"/>
    <w:rsid w:val="53BB6C30"/>
    <w:rsid w:val="53BB6CD0"/>
    <w:rsid w:val="53BF6E4D"/>
    <w:rsid w:val="53C023FC"/>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25D7"/>
    <w:rsid w:val="543A7B51"/>
    <w:rsid w:val="54431413"/>
    <w:rsid w:val="54467196"/>
    <w:rsid w:val="544D270A"/>
    <w:rsid w:val="544E5195"/>
    <w:rsid w:val="544E7341"/>
    <w:rsid w:val="54565AB3"/>
    <w:rsid w:val="54586E42"/>
    <w:rsid w:val="545D7C1E"/>
    <w:rsid w:val="54606870"/>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6D72ED"/>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1C14"/>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7A654B"/>
    <w:rsid w:val="58802421"/>
    <w:rsid w:val="588D1666"/>
    <w:rsid w:val="588F71C9"/>
    <w:rsid w:val="58914185"/>
    <w:rsid w:val="58920F1B"/>
    <w:rsid w:val="58A16967"/>
    <w:rsid w:val="58AB69E5"/>
    <w:rsid w:val="58B167FD"/>
    <w:rsid w:val="58B513F7"/>
    <w:rsid w:val="58C0497A"/>
    <w:rsid w:val="58C564A5"/>
    <w:rsid w:val="58CC003F"/>
    <w:rsid w:val="58CD7B88"/>
    <w:rsid w:val="58CD7B89"/>
    <w:rsid w:val="58D10DDD"/>
    <w:rsid w:val="58D12092"/>
    <w:rsid w:val="58D52C82"/>
    <w:rsid w:val="58D540F7"/>
    <w:rsid w:val="58D5513C"/>
    <w:rsid w:val="58E34384"/>
    <w:rsid w:val="58EC7E85"/>
    <w:rsid w:val="58F34864"/>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35184"/>
    <w:rsid w:val="5A483FE9"/>
    <w:rsid w:val="5A4A55F7"/>
    <w:rsid w:val="5A4D6DDE"/>
    <w:rsid w:val="5A536B35"/>
    <w:rsid w:val="5A5407D2"/>
    <w:rsid w:val="5A554E02"/>
    <w:rsid w:val="5A565DC8"/>
    <w:rsid w:val="5A57679A"/>
    <w:rsid w:val="5A60367A"/>
    <w:rsid w:val="5A6338A8"/>
    <w:rsid w:val="5A633F59"/>
    <w:rsid w:val="5A810F21"/>
    <w:rsid w:val="5A8201E3"/>
    <w:rsid w:val="5A943561"/>
    <w:rsid w:val="5A947EF0"/>
    <w:rsid w:val="5A9545E6"/>
    <w:rsid w:val="5A96253C"/>
    <w:rsid w:val="5A9A1811"/>
    <w:rsid w:val="5AA45DD1"/>
    <w:rsid w:val="5AA86E5A"/>
    <w:rsid w:val="5AAA67C9"/>
    <w:rsid w:val="5AAE12B9"/>
    <w:rsid w:val="5AC40155"/>
    <w:rsid w:val="5AC51C42"/>
    <w:rsid w:val="5ACA67BF"/>
    <w:rsid w:val="5ADB4308"/>
    <w:rsid w:val="5AE02F24"/>
    <w:rsid w:val="5AE84AF6"/>
    <w:rsid w:val="5AE868B2"/>
    <w:rsid w:val="5AE9652D"/>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D6360"/>
    <w:rsid w:val="5B650C24"/>
    <w:rsid w:val="5B6C1370"/>
    <w:rsid w:val="5B700C48"/>
    <w:rsid w:val="5B762836"/>
    <w:rsid w:val="5B861DFE"/>
    <w:rsid w:val="5B8B4481"/>
    <w:rsid w:val="5B8F3139"/>
    <w:rsid w:val="5B8F6725"/>
    <w:rsid w:val="5B961544"/>
    <w:rsid w:val="5B9C0BB9"/>
    <w:rsid w:val="5B9D2958"/>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910A1"/>
    <w:rsid w:val="5C8E4CB9"/>
    <w:rsid w:val="5C915347"/>
    <w:rsid w:val="5CB70F5B"/>
    <w:rsid w:val="5CBE6A7F"/>
    <w:rsid w:val="5CC03AD8"/>
    <w:rsid w:val="5CC13B5F"/>
    <w:rsid w:val="5CC27397"/>
    <w:rsid w:val="5CC350B6"/>
    <w:rsid w:val="5CC40640"/>
    <w:rsid w:val="5CC5501F"/>
    <w:rsid w:val="5CCD5AF3"/>
    <w:rsid w:val="5CD87406"/>
    <w:rsid w:val="5CDB61B3"/>
    <w:rsid w:val="5CE12FA2"/>
    <w:rsid w:val="5CE37A0C"/>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75B90"/>
    <w:rsid w:val="5E490299"/>
    <w:rsid w:val="5E4B6995"/>
    <w:rsid w:val="5E4F478A"/>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568A4"/>
    <w:rsid w:val="5F365AC4"/>
    <w:rsid w:val="5F3809A2"/>
    <w:rsid w:val="5F425E0E"/>
    <w:rsid w:val="5F4D5E87"/>
    <w:rsid w:val="5F561440"/>
    <w:rsid w:val="5F565D66"/>
    <w:rsid w:val="5F5A6C52"/>
    <w:rsid w:val="5F615247"/>
    <w:rsid w:val="5F6A5A0A"/>
    <w:rsid w:val="5F73758B"/>
    <w:rsid w:val="5F796C02"/>
    <w:rsid w:val="5F7A3813"/>
    <w:rsid w:val="5F7B787C"/>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9674B"/>
    <w:rsid w:val="60396D53"/>
    <w:rsid w:val="60460B23"/>
    <w:rsid w:val="60475A2A"/>
    <w:rsid w:val="6051492B"/>
    <w:rsid w:val="605414CE"/>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CF150F"/>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62AB"/>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63667"/>
    <w:rsid w:val="61D033C7"/>
    <w:rsid w:val="61D2628F"/>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BF0610"/>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0595E"/>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E219C"/>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189F"/>
    <w:rsid w:val="64F656FB"/>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D1D8B"/>
    <w:rsid w:val="655E2E69"/>
    <w:rsid w:val="65620CDF"/>
    <w:rsid w:val="656763D3"/>
    <w:rsid w:val="656771B8"/>
    <w:rsid w:val="656A2B47"/>
    <w:rsid w:val="656E5FF8"/>
    <w:rsid w:val="65755AA9"/>
    <w:rsid w:val="657701D4"/>
    <w:rsid w:val="657763D1"/>
    <w:rsid w:val="6577679C"/>
    <w:rsid w:val="65807AD8"/>
    <w:rsid w:val="65822FE0"/>
    <w:rsid w:val="65886C99"/>
    <w:rsid w:val="658B3278"/>
    <w:rsid w:val="65972220"/>
    <w:rsid w:val="659B3091"/>
    <w:rsid w:val="65A16EE2"/>
    <w:rsid w:val="65AE1917"/>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665DA6"/>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267049"/>
    <w:rsid w:val="67333E25"/>
    <w:rsid w:val="6737473D"/>
    <w:rsid w:val="673F566D"/>
    <w:rsid w:val="67477A3D"/>
    <w:rsid w:val="674836B0"/>
    <w:rsid w:val="674A7242"/>
    <w:rsid w:val="6750530D"/>
    <w:rsid w:val="67534BA2"/>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27650"/>
    <w:rsid w:val="67D50B91"/>
    <w:rsid w:val="67D93324"/>
    <w:rsid w:val="67DC3979"/>
    <w:rsid w:val="67E30381"/>
    <w:rsid w:val="67E52885"/>
    <w:rsid w:val="67E81682"/>
    <w:rsid w:val="67E86538"/>
    <w:rsid w:val="67E96C00"/>
    <w:rsid w:val="67EA07C1"/>
    <w:rsid w:val="67EE61ED"/>
    <w:rsid w:val="67F43FF6"/>
    <w:rsid w:val="67FC5BF8"/>
    <w:rsid w:val="6807753D"/>
    <w:rsid w:val="6813706E"/>
    <w:rsid w:val="682178E5"/>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90668"/>
    <w:rsid w:val="69ED5274"/>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45091"/>
    <w:rsid w:val="6B4A6769"/>
    <w:rsid w:val="6B5E5F25"/>
    <w:rsid w:val="6B647694"/>
    <w:rsid w:val="6B666A66"/>
    <w:rsid w:val="6B687879"/>
    <w:rsid w:val="6B6C74E1"/>
    <w:rsid w:val="6B713FC1"/>
    <w:rsid w:val="6B7357C3"/>
    <w:rsid w:val="6B832B21"/>
    <w:rsid w:val="6B867E5C"/>
    <w:rsid w:val="6B88607A"/>
    <w:rsid w:val="6B9150FF"/>
    <w:rsid w:val="6B946BF3"/>
    <w:rsid w:val="6BA2350F"/>
    <w:rsid w:val="6BA31178"/>
    <w:rsid w:val="6BB2108D"/>
    <w:rsid w:val="6BB30977"/>
    <w:rsid w:val="6BD4209E"/>
    <w:rsid w:val="6BD82F70"/>
    <w:rsid w:val="6BDB61D4"/>
    <w:rsid w:val="6BE223DA"/>
    <w:rsid w:val="6BE85FD3"/>
    <w:rsid w:val="6BF04529"/>
    <w:rsid w:val="6BF36866"/>
    <w:rsid w:val="6BF40ECE"/>
    <w:rsid w:val="6BFB7A6D"/>
    <w:rsid w:val="6C005268"/>
    <w:rsid w:val="6C051A87"/>
    <w:rsid w:val="6C0738DF"/>
    <w:rsid w:val="6C0973B9"/>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71E35"/>
    <w:rsid w:val="6C4928BB"/>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810F3"/>
    <w:rsid w:val="6CC97063"/>
    <w:rsid w:val="6CCB0028"/>
    <w:rsid w:val="6CCB0C6B"/>
    <w:rsid w:val="6CCB2D0A"/>
    <w:rsid w:val="6CCE63ED"/>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70A7E"/>
    <w:rsid w:val="6D4C4DFE"/>
    <w:rsid w:val="6D4C5E69"/>
    <w:rsid w:val="6D537D1B"/>
    <w:rsid w:val="6D5A2C9B"/>
    <w:rsid w:val="6D5E0B4C"/>
    <w:rsid w:val="6D5E1190"/>
    <w:rsid w:val="6D60795E"/>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760D0"/>
    <w:rsid w:val="6E0927C5"/>
    <w:rsid w:val="6E1158BA"/>
    <w:rsid w:val="6E185997"/>
    <w:rsid w:val="6E1A373A"/>
    <w:rsid w:val="6E1A7481"/>
    <w:rsid w:val="6E1B105E"/>
    <w:rsid w:val="6E1F5D69"/>
    <w:rsid w:val="6E220C97"/>
    <w:rsid w:val="6E224A5B"/>
    <w:rsid w:val="6E27618D"/>
    <w:rsid w:val="6E277AA3"/>
    <w:rsid w:val="6E35129D"/>
    <w:rsid w:val="6E39201E"/>
    <w:rsid w:val="6E4811D7"/>
    <w:rsid w:val="6E4A7C2E"/>
    <w:rsid w:val="6E511F12"/>
    <w:rsid w:val="6E617CA9"/>
    <w:rsid w:val="6E6C32CD"/>
    <w:rsid w:val="6E6F4755"/>
    <w:rsid w:val="6E701D7F"/>
    <w:rsid w:val="6E737B36"/>
    <w:rsid w:val="6E7409D9"/>
    <w:rsid w:val="6E77033D"/>
    <w:rsid w:val="6E7C4E3C"/>
    <w:rsid w:val="6E865687"/>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EA051A"/>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3A278B"/>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607E8"/>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07CEF"/>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A77A4F"/>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267A9"/>
    <w:rsid w:val="747A6F58"/>
    <w:rsid w:val="747B7F4A"/>
    <w:rsid w:val="747C4DE9"/>
    <w:rsid w:val="74806D03"/>
    <w:rsid w:val="74886C9D"/>
    <w:rsid w:val="748E40CB"/>
    <w:rsid w:val="74902902"/>
    <w:rsid w:val="74905AB6"/>
    <w:rsid w:val="749A353B"/>
    <w:rsid w:val="749E3A5B"/>
    <w:rsid w:val="74B30C33"/>
    <w:rsid w:val="74CA3AD5"/>
    <w:rsid w:val="74CC36DC"/>
    <w:rsid w:val="74CE67CF"/>
    <w:rsid w:val="74CF49BD"/>
    <w:rsid w:val="74D073FB"/>
    <w:rsid w:val="74D25EE2"/>
    <w:rsid w:val="74D94700"/>
    <w:rsid w:val="74E21F05"/>
    <w:rsid w:val="74E73044"/>
    <w:rsid w:val="74EA4730"/>
    <w:rsid w:val="74EA64E9"/>
    <w:rsid w:val="74EB5471"/>
    <w:rsid w:val="74EB5792"/>
    <w:rsid w:val="74F821E3"/>
    <w:rsid w:val="74FE6EDC"/>
    <w:rsid w:val="75004176"/>
    <w:rsid w:val="75017AB3"/>
    <w:rsid w:val="75076022"/>
    <w:rsid w:val="750D05D3"/>
    <w:rsid w:val="750E04AA"/>
    <w:rsid w:val="750E7F27"/>
    <w:rsid w:val="7518029F"/>
    <w:rsid w:val="75197265"/>
    <w:rsid w:val="75210929"/>
    <w:rsid w:val="752769BB"/>
    <w:rsid w:val="752901BE"/>
    <w:rsid w:val="752A7B48"/>
    <w:rsid w:val="752D5945"/>
    <w:rsid w:val="75301430"/>
    <w:rsid w:val="75303C91"/>
    <w:rsid w:val="7534510A"/>
    <w:rsid w:val="75353189"/>
    <w:rsid w:val="753A1E42"/>
    <w:rsid w:val="75413000"/>
    <w:rsid w:val="75437BF3"/>
    <w:rsid w:val="75501785"/>
    <w:rsid w:val="75522634"/>
    <w:rsid w:val="75522DE3"/>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2F06D8"/>
    <w:rsid w:val="76330CEC"/>
    <w:rsid w:val="76347E97"/>
    <w:rsid w:val="763E49DF"/>
    <w:rsid w:val="763F2481"/>
    <w:rsid w:val="764448C5"/>
    <w:rsid w:val="765510D9"/>
    <w:rsid w:val="76634ABB"/>
    <w:rsid w:val="76685A5F"/>
    <w:rsid w:val="766E149C"/>
    <w:rsid w:val="76704A90"/>
    <w:rsid w:val="76710F59"/>
    <w:rsid w:val="76731704"/>
    <w:rsid w:val="76791577"/>
    <w:rsid w:val="767A1571"/>
    <w:rsid w:val="767B346C"/>
    <w:rsid w:val="767E2490"/>
    <w:rsid w:val="76800D5B"/>
    <w:rsid w:val="76844924"/>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C524B6"/>
    <w:rsid w:val="76C531DC"/>
    <w:rsid w:val="76CD0623"/>
    <w:rsid w:val="76CF40F0"/>
    <w:rsid w:val="76D2560C"/>
    <w:rsid w:val="76D63596"/>
    <w:rsid w:val="76D65BBC"/>
    <w:rsid w:val="76D823FA"/>
    <w:rsid w:val="76D84669"/>
    <w:rsid w:val="76DA0CCD"/>
    <w:rsid w:val="76E94A27"/>
    <w:rsid w:val="76ED2324"/>
    <w:rsid w:val="76F2006B"/>
    <w:rsid w:val="76F61F1D"/>
    <w:rsid w:val="76FB2FAF"/>
    <w:rsid w:val="76FF12B1"/>
    <w:rsid w:val="77031448"/>
    <w:rsid w:val="77073F43"/>
    <w:rsid w:val="770F3B36"/>
    <w:rsid w:val="771071DC"/>
    <w:rsid w:val="77184032"/>
    <w:rsid w:val="772209CB"/>
    <w:rsid w:val="7723195D"/>
    <w:rsid w:val="772A1315"/>
    <w:rsid w:val="7734235A"/>
    <w:rsid w:val="773D2B51"/>
    <w:rsid w:val="773F59CC"/>
    <w:rsid w:val="774E7377"/>
    <w:rsid w:val="774F5379"/>
    <w:rsid w:val="77537360"/>
    <w:rsid w:val="77583047"/>
    <w:rsid w:val="775A67F8"/>
    <w:rsid w:val="775D0DCF"/>
    <w:rsid w:val="776558E7"/>
    <w:rsid w:val="77724A87"/>
    <w:rsid w:val="777344D6"/>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73C66"/>
    <w:rsid w:val="77CC6CB8"/>
    <w:rsid w:val="77D0780A"/>
    <w:rsid w:val="77D50840"/>
    <w:rsid w:val="77E1742C"/>
    <w:rsid w:val="77E17891"/>
    <w:rsid w:val="77E4323F"/>
    <w:rsid w:val="77E55DE5"/>
    <w:rsid w:val="77EA424F"/>
    <w:rsid w:val="77ED0B13"/>
    <w:rsid w:val="77F242E3"/>
    <w:rsid w:val="77F954C1"/>
    <w:rsid w:val="780158ED"/>
    <w:rsid w:val="780318F4"/>
    <w:rsid w:val="780543E8"/>
    <w:rsid w:val="78062B22"/>
    <w:rsid w:val="780C33BF"/>
    <w:rsid w:val="780D0E2D"/>
    <w:rsid w:val="780D7B95"/>
    <w:rsid w:val="780F159E"/>
    <w:rsid w:val="78124B18"/>
    <w:rsid w:val="781B23FC"/>
    <w:rsid w:val="784059E3"/>
    <w:rsid w:val="784329E1"/>
    <w:rsid w:val="784451CB"/>
    <w:rsid w:val="784A3895"/>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974D6"/>
    <w:rsid w:val="7A3D7337"/>
    <w:rsid w:val="7A4060AE"/>
    <w:rsid w:val="7A442764"/>
    <w:rsid w:val="7A4B390A"/>
    <w:rsid w:val="7A4C413A"/>
    <w:rsid w:val="7A5467D6"/>
    <w:rsid w:val="7A55702A"/>
    <w:rsid w:val="7A5675F8"/>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75598"/>
    <w:rsid w:val="7ADA08CB"/>
    <w:rsid w:val="7ADE7D20"/>
    <w:rsid w:val="7AE16BF9"/>
    <w:rsid w:val="7AE6530E"/>
    <w:rsid w:val="7AEF0262"/>
    <w:rsid w:val="7AF40620"/>
    <w:rsid w:val="7AF70369"/>
    <w:rsid w:val="7B0A1118"/>
    <w:rsid w:val="7B1C2184"/>
    <w:rsid w:val="7B2D37CA"/>
    <w:rsid w:val="7B5263BB"/>
    <w:rsid w:val="7B576462"/>
    <w:rsid w:val="7B594B85"/>
    <w:rsid w:val="7B5B2668"/>
    <w:rsid w:val="7B5D24AF"/>
    <w:rsid w:val="7B63272B"/>
    <w:rsid w:val="7B6374D1"/>
    <w:rsid w:val="7B647C53"/>
    <w:rsid w:val="7B65452C"/>
    <w:rsid w:val="7B677548"/>
    <w:rsid w:val="7B6A752F"/>
    <w:rsid w:val="7B6E4B57"/>
    <w:rsid w:val="7B733935"/>
    <w:rsid w:val="7B7C162F"/>
    <w:rsid w:val="7B7D1905"/>
    <w:rsid w:val="7B8175B9"/>
    <w:rsid w:val="7B833A1A"/>
    <w:rsid w:val="7B8D734B"/>
    <w:rsid w:val="7B9174D9"/>
    <w:rsid w:val="7B956F44"/>
    <w:rsid w:val="7BB15E38"/>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1F2759"/>
    <w:rsid w:val="7C1F418D"/>
    <w:rsid w:val="7C203471"/>
    <w:rsid w:val="7C214E9E"/>
    <w:rsid w:val="7C222FFB"/>
    <w:rsid w:val="7C2B3FDE"/>
    <w:rsid w:val="7C306EAC"/>
    <w:rsid w:val="7C360911"/>
    <w:rsid w:val="7C370C08"/>
    <w:rsid w:val="7C376987"/>
    <w:rsid w:val="7C3E49FD"/>
    <w:rsid w:val="7C411007"/>
    <w:rsid w:val="7C4C738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C0090"/>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D2B8F"/>
    <w:rsid w:val="7E403F72"/>
    <w:rsid w:val="7E4854DF"/>
    <w:rsid w:val="7E570ED0"/>
    <w:rsid w:val="7E5B6848"/>
    <w:rsid w:val="7E5D5E8C"/>
    <w:rsid w:val="7E665777"/>
    <w:rsid w:val="7E67389E"/>
    <w:rsid w:val="7E685078"/>
    <w:rsid w:val="7E695545"/>
    <w:rsid w:val="7E7D14C2"/>
    <w:rsid w:val="7E807CD3"/>
    <w:rsid w:val="7E8B3F8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0F2694"/>
    <w:rsid w:val="7F1535FF"/>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93216"/>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2</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2021-01-15T16:28:24Z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